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04" w:rsidRDefault="00816404" w:rsidP="00F05DF6">
      <w:pPr>
        <w:framePr w:w="9083" w:h="3421" w:hRule="exact" w:hSpace="181" w:wrap="around" w:vAnchor="page" w:hAnchor="page" w:x="1701" w:y="573" w:anchorLock="1"/>
        <w:jc w:val="center"/>
      </w:pPr>
    </w:p>
    <w:p w:rsidR="00816404" w:rsidRPr="00036DEF" w:rsidRDefault="00816404" w:rsidP="00F05DF6">
      <w:pPr>
        <w:framePr w:w="9083" w:h="3421" w:hRule="exact" w:hSpace="181" w:wrap="around" w:vAnchor="page" w:hAnchor="page" w:x="1701" w:y="573" w:anchorLock="1"/>
        <w:pBdr>
          <w:bottom w:val="single" w:sz="6" w:space="4" w:color="auto"/>
        </w:pBdr>
        <w:spacing w:before="200"/>
        <w:jc w:val="center"/>
        <w:rPr>
          <w:spacing w:val="8"/>
          <w:kern w:val="29"/>
          <w:sz w:val="28"/>
          <w:szCs w:val="28"/>
        </w:rPr>
      </w:pPr>
      <w:r w:rsidRPr="00036DEF">
        <w:rPr>
          <w:spacing w:val="8"/>
          <w:kern w:val="29"/>
          <w:sz w:val="28"/>
          <w:szCs w:val="28"/>
        </w:rPr>
        <w:t>LATVIJAS REPUBLIKAS FINANŠU MINISTRIJA</w:t>
      </w:r>
    </w:p>
    <w:p w:rsidR="00816404" w:rsidRDefault="00816404" w:rsidP="00F05DF6">
      <w:pPr>
        <w:framePr w:w="9083" w:h="3421" w:hRule="exact" w:hSpace="181" w:wrap="around" w:vAnchor="page" w:hAnchor="page" w:x="1701" w:y="573" w:anchorLock="1"/>
        <w:jc w:val="center"/>
        <w:rPr>
          <w:sz w:val="16"/>
        </w:rPr>
      </w:pPr>
    </w:p>
    <w:p w:rsidR="00816404" w:rsidRPr="0031414E" w:rsidRDefault="00816404" w:rsidP="0031414E">
      <w:pPr>
        <w:framePr w:w="9083" w:h="3421" w:hRule="exact" w:hSpace="181" w:wrap="around" w:vAnchor="page" w:hAnchor="page" w:x="1701" w:y="573" w:anchorLock="1"/>
        <w:spacing w:line="360" w:lineRule="auto"/>
        <w:jc w:val="center"/>
        <w:rPr>
          <w:sz w:val="28"/>
          <w:szCs w:val="28"/>
        </w:rPr>
      </w:pPr>
      <w:r w:rsidRPr="0031414E">
        <w:rPr>
          <w:sz w:val="28"/>
          <w:szCs w:val="28"/>
        </w:rPr>
        <w:t>INSTRUKCIJA</w:t>
      </w:r>
    </w:p>
    <w:p w:rsidR="00816404" w:rsidRPr="006B33CB" w:rsidRDefault="00816404" w:rsidP="0031414E">
      <w:pPr>
        <w:framePr w:w="9083" w:h="3421" w:hRule="exact" w:hSpace="181" w:wrap="around" w:vAnchor="page" w:hAnchor="page" w:x="1701" w:y="573" w:anchorLock="1"/>
        <w:spacing w:line="360" w:lineRule="auto"/>
        <w:jc w:val="center"/>
        <w:rPr>
          <w:sz w:val="20"/>
        </w:rPr>
      </w:pPr>
      <w:r w:rsidRPr="006B33CB">
        <w:rPr>
          <w:sz w:val="20"/>
        </w:rPr>
        <w:t>RĪGĀ</w:t>
      </w:r>
    </w:p>
    <w:p w:rsidR="00816404" w:rsidRDefault="00816404" w:rsidP="00F05DF6">
      <w:pPr>
        <w:framePr w:w="9083" w:h="3421" w:hRule="exact" w:hSpace="181" w:wrap="around" w:vAnchor="page" w:hAnchor="page" w:x="1701" w:y="573" w:anchorLock="1"/>
        <w:tabs>
          <w:tab w:val="left" w:pos="4820"/>
        </w:tabs>
        <w:rPr>
          <w:sz w:val="20"/>
        </w:rPr>
      </w:pPr>
    </w:p>
    <w:tbl>
      <w:tblPr>
        <w:tblW w:w="9259" w:type="dxa"/>
        <w:tblInd w:w="57" w:type="dxa"/>
        <w:tblBorders>
          <w:bottom w:val="single" w:sz="4" w:space="0" w:color="auto"/>
          <w:insideH w:val="single" w:sz="4" w:space="0" w:color="auto"/>
        </w:tblBorders>
        <w:tblLayout w:type="fixed"/>
        <w:tblLook w:val="01E0"/>
      </w:tblPr>
      <w:tblGrid>
        <w:gridCol w:w="2504"/>
        <w:gridCol w:w="4777"/>
        <w:gridCol w:w="1978"/>
      </w:tblGrid>
      <w:tr w:rsidR="00816404" w:rsidRPr="00AF5EE8" w:rsidTr="0031414E">
        <w:trPr>
          <w:trHeight w:val="270"/>
        </w:trPr>
        <w:tc>
          <w:tcPr>
            <w:tcW w:w="2504" w:type="dxa"/>
            <w:tcBorders>
              <w:top w:val="nil"/>
            </w:tcBorders>
            <w:vAlign w:val="bottom"/>
          </w:tcPr>
          <w:p w:rsidR="00816404" w:rsidRPr="00AF5EE8" w:rsidRDefault="00816404" w:rsidP="00F05DF6">
            <w:pPr>
              <w:framePr w:w="9083" w:h="3421" w:hRule="exact" w:hSpace="181" w:wrap="around" w:vAnchor="page" w:hAnchor="page" w:x="1701" w:y="573" w:anchorLock="1"/>
              <w:tabs>
                <w:tab w:val="right" w:leader="underscore" w:pos="2127"/>
                <w:tab w:val="left" w:pos="2410"/>
                <w:tab w:val="right" w:leader="underscore" w:pos="4820"/>
              </w:tabs>
              <w:rPr>
                <w:szCs w:val="24"/>
              </w:rPr>
            </w:pPr>
            <w:r>
              <w:rPr>
                <w:szCs w:val="24"/>
              </w:rPr>
              <w:t>03.07.2014.</w:t>
            </w:r>
          </w:p>
        </w:tc>
        <w:tc>
          <w:tcPr>
            <w:tcW w:w="4777" w:type="dxa"/>
            <w:tcBorders>
              <w:top w:val="nil"/>
              <w:bottom w:val="nil"/>
              <w:right w:val="nil"/>
            </w:tcBorders>
            <w:vAlign w:val="bottom"/>
          </w:tcPr>
          <w:p w:rsidR="00816404" w:rsidRPr="00AF5EE8" w:rsidRDefault="00816404" w:rsidP="00F05DF6">
            <w:pPr>
              <w:framePr w:w="9083" w:h="3421" w:hRule="exact" w:hSpace="181" w:wrap="around" w:vAnchor="page" w:hAnchor="page" w:x="1701" w:y="573" w:anchorLock="1"/>
              <w:ind w:left="-43"/>
              <w:jc w:val="right"/>
              <w:rPr>
                <w:sz w:val="20"/>
              </w:rPr>
            </w:pPr>
            <w:r w:rsidRPr="00AF5EE8">
              <w:rPr>
                <w:sz w:val="20"/>
              </w:rPr>
              <w:t>Nr.</w:t>
            </w:r>
          </w:p>
        </w:tc>
        <w:tc>
          <w:tcPr>
            <w:tcW w:w="1978" w:type="dxa"/>
            <w:tcBorders>
              <w:top w:val="nil"/>
              <w:left w:val="nil"/>
            </w:tcBorders>
          </w:tcPr>
          <w:p w:rsidR="00816404" w:rsidRPr="00AF5EE8" w:rsidRDefault="00816404" w:rsidP="00F05DF6">
            <w:pPr>
              <w:framePr w:w="9083" w:h="3421" w:hRule="exact" w:hSpace="181" w:wrap="around" w:vAnchor="page" w:hAnchor="page" w:x="1701" w:y="573" w:anchorLock="1"/>
              <w:tabs>
                <w:tab w:val="right" w:leader="underscore" w:pos="2127"/>
                <w:tab w:val="left" w:pos="2410"/>
                <w:tab w:val="right" w:leader="underscore" w:pos="4820"/>
              </w:tabs>
              <w:ind w:left="-43"/>
              <w:rPr>
                <w:szCs w:val="24"/>
              </w:rPr>
            </w:pPr>
            <w:r>
              <w:rPr>
                <w:szCs w:val="24"/>
              </w:rPr>
              <w:t>12-28/1</w:t>
            </w:r>
          </w:p>
        </w:tc>
      </w:tr>
    </w:tbl>
    <w:p w:rsidR="00816404" w:rsidRPr="0087450A" w:rsidRDefault="00816404" w:rsidP="006908FF">
      <w:pPr>
        <w:tabs>
          <w:tab w:val="left" w:pos="6840"/>
        </w:tabs>
        <w:rPr>
          <w:sz w:val="28"/>
          <w:szCs w:val="28"/>
        </w:rPr>
      </w:pPr>
    </w:p>
    <w:p w:rsidR="00816404" w:rsidRPr="005C2BA2" w:rsidRDefault="00816404" w:rsidP="00531665">
      <w:pPr>
        <w:tabs>
          <w:tab w:val="left" w:pos="6840"/>
        </w:tabs>
        <w:rPr>
          <w:b/>
          <w:color w:val="000000"/>
          <w:sz w:val="28"/>
          <w:szCs w:val="28"/>
        </w:rPr>
      </w:pPr>
    </w:p>
    <w:p w:rsidR="00816404" w:rsidRPr="005C2BA2" w:rsidRDefault="00816404" w:rsidP="009E32C6">
      <w:pPr>
        <w:tabs>
          <w:tab w:val="left" w:pos="6840"/>
        </w:tabs>
        <w:jc w:val="center"/>
        <w:rPr>
          <w:b/>
          <w:color w:val="000000"/>
          <w:sz w:val="28"/>
          <w:szCs w:val="28"/>
        </w:rPr>
      </w:pPr>
      <w:r w:rsidRPr="005C2BA2">
        <w:rPr>
          <w:b/>
          <w:color w:val="000000"/>
          <w:sz w:val="28"/>
          <w:szCs w:val="28"/>
        </w:rPr>
        <w:t xml:space="preserve">Muitas lietu jomā izmantotā </w:t>
      </w:r>
      <w:r>
        <w:rPr>
          <w:b/>
          <w:color w:val="000000"/>
          <w:sz w:val="28"/>
          <w:szCs w:val="28"/>
        </w:rPr>
        <w:t>nosacījuma „</w:t>
      </w:r>
      <w:r w:rsidRPr="005C2BA2">
        <w:rPr>
          <w:b/>
          <w:color w:val="000000"/>
          <w:sz w:val="28"/>
          <w:szCs w:val="28"/>
        </w:rPr>
        <w:t>smag</w:t>
      </w:r>
      <w:r>
        <w:rPr>
          <w:b/>
          <w:color w:val="000000"/>
          <w:sz w:val="28"/>
          <w:szCs w:val="28"/>
        </w:rPr>
        <w:t>i, nopietni vai atkārtoti muitas vai nodokļu noteikumu pārkāpumi”</w:t>
      </w:r>
      <w:r w:rsidRPr="005C2BA2">
        <w:rPr>
          <w:b/>
          <w:color w:val="000000"/>
          <w:sz w:val="28"/>
          <w:szCs w:val="28"/>
        </w:rPr>
        <w:t xml:space="preserve"> piemērošanas instrukcija.</w:t>
      </w:r>
    </w:p>
    <w:p w:rsidR="00816404" w:rsidRPr="0087450A" w:rsidRDefault="00816404" w:rsidP="00F104FC">
      <w:pPr>
        <w:tabs>
          <w:tab w:val="left" w:pos="6840"/>
        </w:tabs>
        <w:ind w:firstLine="709"/>
        <w:rPr>
          <w:color w:val="000000"/>
          <w:sz w:val="28"/>
          <w:szCs w:val="28"/>
        </w:rPr>
      </w:pPr>
    </w:p>
    <w:p w:rsidR="00816404" w:rsidRDefault="00816404" w:rsidP="00F104FC">
      <w:pPr>
        <w:jc w:val="right"/>
        <w:rPr>
          <w:iCs/>
          <w:color w:val="000000"/>
          <w:szCs w:val="24"/>
          <w:lang w:eastAsia="lv-LV"/>
        </w:rPr>
      </w:pPr>
      <w:r w:rsidRPr="0087450A">
        <w:rPr>
          <w:iCs/>
          <w:color w:val="000000"/>
          <w:szCs w:val="24"/>
          <w:lang w:eastAsia="lv-LV"/>
        </w:rPr>
        <w:t xml:space="preserve">Izdota saskaņā ar </w:t>
      </w:r>
    </w:p>
    <w:p w:rsidR="00816404" w:rsidRDefault="00816404" w:rsidP="00F104FC">
      <w:pPr>
        <w:jc w:val="right"/>
        <w:rPr>
          <w:iCs/>
          <w:color w:val="000000"/>
          <w:szCs w:val="24"/>
          <w:lang w:eastAsia="lv-LV"/>
        </w:rPr>
      </w:pPr>
      <w:r w:rsidRPr="0087450A">
        <w:rPr>
          <w:iCs/>
          <w:color w:val="000000"/>
          <w:szCs w:val="24"/>
          <w:lang w:eastAsia="lv-LV"/>
        </w:rPr>
        <w:t>Valsts pārvaldes iekārtas likuma</w:t>
      </w:r>
      <w:r w:rsidRPr="00F104FC">
        <w:rPr>
          <w:iCs/>
          <w:color w:val="000000"/>
          <w:szCs w:val="24"/>
          <w:lang w:eastAsia="lv-LV"/>
        </w:rPr>
        <w:t xml:space="preserve"> </w:t>
      </w:r>
    </w:p>
    <w:p w:rsidR="00816404" w:rsidRPr="0087450A" w:rsidRDefault="00816404" w:rsidP="00F104FC">
      <w:pPr>
        <w:jc w:val="right"/>
        <w:rPr>
          <w:iCs/>
          <w:color w:val="000000"/>
          <w:szCs w:val="24"/>
          <w:lang w:eastAsia="lv-LV"/>
        </w:rPr>
      </w:pPr>
      <w:r w:rsidRPr="00F104FC">
        <w:rPr>
          <w:iCs/>
          <w:color w:val="000000"/>
          <w:szCs w:val="24"/>
          <w:lang w:eastAsia="lv-LV"/>
        </w:rPr>
        <w:t xml:space="preserve">72.panta pirmās daļas </w:t>
      </w:r>
      <w:r w:rsidRPr="0087450A">
        <w:rPr>
          <w:iCs/>
          <w:color w:val="000000"/>
          <w:szCs w:val="24"/>
          <w:lang w:eastAsia="lv-LV"/>
        </w:rPr>
        <w:t>2.punktu</w:t>
      </w:r>
    </w:p>
    <w:p w:rsidR="00816404" w:rsidRPr="0087450A" w:rsidRDefault="00816404" w:rsidP="00F104FC">
      <w:pPr>
        <w:tabs>
          <w:tab w:val="left" w:pos="6840"/>
        </w:tabs>
        <w:rPr>
          <w:color w:val="000000"/>
          <w:sz w:val="28"/>
          <w:szCs w:val="28"/>
        </w:rPr>
      </w:pPr>
    </w:p>
    <w:p w:rsidR="00816404" w:rsidRPr="00531665" w:rsidRDefault="00816404" w:rsidP="005B466D">
      <w:pPr>
        <w:tabs>
          <w:tab w:val="left" w:pos="6840"/>
        </w:tabs>
        <w:jc w:val="center"/>
        <w:rPr>
          <w:b/>
          <w:color w:val="000000"/>
          <w:sz w:val="26"/>
          <w:szCs w:val="26"/>
        </w:rPr>
      </w:pPr>
      <w:r w:rsidRPr="00531665">
        <w:rPr>
          <w:b/>
          <w:color w:val="000000"/>
          <w:sz w:val="26"/>
          <w:szCs w:val="26"/>
        </w:rPr>
        <w:t>I. Vispārīgie jautājumi</w:t>
      </w:r>
    </w:p>
    <w:p w:rsidR="00816404" w:rsidRPr="00531665" w:rsidRDefault="00816404" w:rsidP="005B466D">
      <w:pPr>
        <w:tabs>
          <w:tab w:val="left" w:pos="6840"/>
        </w:tabs>
        <w:jc w:val="center"/>
        <w:rPr>
          <w:color w:val="000000"/>
          <w:sz w:val="26"/>
          <w:szCs w:val="26"/>
        </w:rPr>
      </w:pPr>
    </w:p>
    <w:p w:rsidR="00816404" w:rsidRPr="00531665" w:rsidRDefault="00816404" w:rsidP="005B466D">
      <w:pPr>
        <w:tabs>
          <w:tab w:val="left" w:pos="709"/>
        </w:tabs>
        <w:rPr>
          <w:color w:val="000000"/>
          <w:sz w:val="26"/>
          <w:szCs w:val="26"/>
        </w:rPr>
      </w:pPr>
      <w:r w:rsidRPr="00531665">
        <w:rPr>
          <w:color w:val="000000"/>
          <w:sz w:val="26"/>
          <w:szCs w:val="26"/>
        </w:rPr>
        <w:tab/>
        <w:t>1. Instrukcija nosaka</w:t>
      </w:r>
      <w:r w:rsidRPr="00531665">
        <w:rPr>
          <w:sz w:val="26"/>
          <w:szCs w:val="26"/>
        </w:rPr>
        <w:t xml:space="preserve"> </w:t>
      </w:r>
      <w:r w:rsidRPr="00531665">
        <w:rPr>
          <w:color w:val="000000"/>
          <w:sz w:val="26"/>
          <w:szCs w:val="26"/>
        </w:rPr>
        <w:t>Padomes 1992.gada 12.oktobra Regulas (EEK) Nr. 2913/92 par Kopienas Muitas kodeksa izveidi 94.panta 3.punkta c) apakšpunktā, Komisijas 1993.gada 2.jūlija Regulas Nr.2454/93 ar ko nosaka īstenošanas noteikumus Padomes Regulai (EEK) Nr. 2913/92 par Kopienas Muitas kodeksa izveidi 14.h panta 1.punktā, 14.v</w:t>
      </w:r>
      <w:r>
        <w:rPr>
          <w:color w:val="000000"/>
          <w:sz w:val="26"/>
          <w:szCs w:val="26"/>
        </w:rPr>
        <w:t xml:space="preserve"> panta 1.punkta b)</w:t>
      </w:r>
      <w:r w:rsidRPr="00531665">
        <w:rPr>
          <w:color w:val="000000"/>
          <w:sz w:val="26"/>
          <w:szCs w:val="26"/>
        </w:rPr>
        <w:t xml:space="preserve"> apakšpunktā, 253.g panta b) apakšpunktā, 290.b panta 1.punkta c)</w:t>
      </w:r>
      <w:r>
        <w:rPr>
          <w:color w:val="000000"/>
          <w:sz w:val="26"/>
          <w:szCs w:val="26"/>
        </w:rPr>
        <w:t xml:space="preserve"> </w:t>
      </w:r>
      <w:r w:rsidRPr="00531665">
        <w:rPr>
          <w:color w:val="000000"/>
          <w:sz w:val="26"/>
          <w:szCs w:val="26"/>
        </w:rPr>
        <w:t>apakšpunktā, 373.panta 1.punkta c) apakšpunktā, 454.a panta 2.punkta c) apakšpunktā, 912.g panta 4.punktā, 1975.gada 14.novembra Muitas konvencijas par starptautiskajiem preču pārvadājumiem, kuros lieto TIR karneti (TIR konvencija) 38.pantā minētā smagu, nopietnu vai atkārtotu muitas vai nodokļu noteikumu pārkāpumu nosacījuma piemērošanu.</w:t>
      </w:r>
    </w:p>
    <w:p w:rsidR="00816404" w:rsidRPr="00531665" w:rsidRDefault="00816404" w:rsidP="005B466D">
      <w:pPr>
        <w:tabs>
          <w:tab w:val="left" w:pos="709"/>
        </w:tabs>
        <w:rPr>
          <w:color w:val="000000"/>
          <w:sz w:val="26"/>
          <w:szCs w:val="26"/>
        </w:rPr>
      </w:pPr>
      <w:r w:rsidRPr="00531665">
        <w:rPr>
          <w:color w:val="000000"/>
          <w:sz w:val="26"/>
          <w:szCs w:val="26"/>
        </w:rPr>
        <w:tab/>
      </w:r>
    </w:p>
    <w:p w:rsidR="00816404" w:rsidRPr="00531665" w:rsidRDefault="00816404" w:rsidP="00C9511E">
      <w:pPr>
        <w:tabs>
          <w:tab w:val="left" w:pos="709"/>
        </w:tabs>
        <w:jc w:val="center"/>
        <w:rPr>
          <w:b/>
          <w:color w:val="000000"/>
          <w:sz w:val="26"/>
          <w:szCs w:val="26"/>
        </w:rPr>
      </w:pPr>
      <w:r w:rsidRPr="00531665">
        <w:rPr>
          <w:b/>
          <w:color w:val="000000"/>
          <w:sz w:val="26"/>
          <w:szCs w:val="26"/>
        </w:rPr>
        <w:t>II. Muitas lietu jomā izmantotā nosacījuma „smagi, nopietni vai atkārtoti noteikumu pārkāpumi” piemērošana</w:t>
      </w:r>
    </w:p>
    <w:p w:rsidR="00816404" w:rsidRPr="00531665" w:rsidRDefault="00816404" w:rsidP="009A0BCE">
      <w:pPr>
        <w:rPr>
          <w:color w:val="000000"/>
          <w:sz w:val="26"/>
          <w:szCs w:val="26"/>
        </w:rPr>
      </w:pPr>
    </w:p>
    <w:p w:rsidR="00816404" w:rsidRPr="00531665" w:rsidRDefault="00816404" w:rsidP="008720FC">
      <w:pPr>
        <w:ind w:firstLine="720"/>
        <w:rPr>
          <w:color w:val="000000"/>
          <w:sz w:val="26"/>
          <w:szCs w:val="26"/>
        </w:rPr>
      </w:pPr>
      <w:r w:rsidRPr="00531665">
        <w:rPr>
          <w:color w:val="000000"/>
          <w:sz w:val="26"/>
          <w:szCs w:val="26"/>
        </w:rPr>
        <w:t>2. Valsts ieņēmumu dienests, piemērojot šīs instrukcijas 1.punktā uzskaitītās tiesību aktu normas, par smagu vai nopietnu muitas vai nodokļu likumu, noteikumu vai tiesību aktu pārkāpumu atzīst muitas un nodokļu, ja tie saistīti ar muitas noteikumos paredzēto darbību un formalitāšu izpildi, pārkāpumu:</w:t>
      </w:r>
    </w:p>
    <w:p w:rsidR="00816404" w:rsidRPr="00531665" w:rsidRDefault="00816404" w:rsidP="008720FC">
      <w:pPr>
        <w:ind w:firstLine="720"/>
        <w:rPr>
          <w:color w:val="000000"/>
          <w:sz w:val="26"/>
          <w:szCs w:val="26"/>
        </w:rPr>
      </w:pPr>
      <w:r w:rsidRPr="00531665">
        <w:rPr>
          <w:color w:val="000000"/>
          <w:sz w:val="26"/>
          <w:szCs w:val="26"/>
        </w:rPr>
        <w:t xml:space="preserve">2.1. </w:t>
      </w:r>
      <w:r w:rsidRPr="00932221">
        <w:rPr>
          <w:color w:val="000000"/>
          <w:sz w:val="26"/>
          <w:szCs w:val="26"/>
        </w:rPr>
        <w:t xml:space="preserve">par kuru persona ir administratīvi sodīta par muitošanai pakļauto preču vai citu vērtību ievešanu Latvijas Republikas muitas teritorijā vai izvešanu no tās, apejot muitas kontroli vai noslēpjot šīs preces vai citas vērtības no muitas kontroles, vai nedeklarējot vai izmantojot viltotus muitas vai citus dokumentus, vai citādā nelikumīgā veidā (kontrabandu) un  iespējamais muitas nodokļa un citu muitas iestāžu administrēto nodokļu  parāds par </w:t>
      </w:r>
      <w:r>
        <w:rPr>
          <w:color w:val="000000"/>
          <w:sz w:val="26"/>
          <w:szCs w:val="26"/>
        </w:rPr>
        <w:t xml:space="preserve">kontrabandas </w:t>
      </w:r>
      <w:r w:rsidRPr="00932221">
        <w:rPr>
          <w:color w:val="000000"/>
          <w:sz w:val="26"/>
          <w:szCs w:val="26"/>
        </w:rPr>
        <w:t>precēm pārsniedz piecas minimālās</w:t>
      </w:r>
      <w:r>
        <w:rPr>
          <w:color w:val="000000"/>
          <w:sz w:val="26"/>
          <w:szCs w:val="26"/>
        </w:rPr>
        <w:t xml:space="preserve"> mēnešalgas vai kontrabandas preces ir </w:t>
      </w:r>
      <w:r w:rsidRPr="00932221">
        <w:rPr>
          <w:color w:val="000000"/>
          <w:sz w:val="26"/>
          <w:szCs w:val="26"/>
        </w:rPr>
        <w:t xml:space="preserve">  20% un </w:t>
      </w:r>
      <w:r>
        <w:rPr>
          <w:color w:val="000000"/>
          <w:sz w:val="26"/>
          <w:szCs w:val="26"/>
        </w:rPr>
        <w:t>vairāk no kravā esošajām precēm</w:t>
      </w:r>
      <w:r w:rsidRPr="00531665">
        <w:rPr>
          <w:i/>
          <w:color w:val="000000"/>
          <w:sz w:val="26"/>
          <w:szCs w:val="26"/>
        </w:rPr>
        <w:t xml:space="preserve"> </w:t>
      </w:r>
      <w:r w:rsidRPr="00531665">
        <w:rPr>
          <w:color w:val="000000"/>
          <w:sz w:val="26"/>
          <w:szCs w:val="26"/>
        </w:rPr>
        <w:t>vai;</w:t>
      </w:r>
    </w:p>
    <w:p w:rsidR="00816404" w:rsidRPr="00531665" w:rsidRDefault="00816404" w:rsidP="008720FC">
      <w:pPr>
        <w:ind w:firstLine="720"/>
        <w:rPr>
          <w:color w:val="000000"/>
          <w:sz w:val="26"/>
          <w:szCs w:val="26"/>
        </w:rPr>
      </w:pPr>
      <w:r w:rsidRPr="00531665">
        <w:rPr>
          <w:color w:val="000000"/>
          <w:sz w:val="26"/>
          <w:szCs w:val="26"/>
        </w:rPr>
        <w:t xml:space="preserve"> 2.2. </w:t>
      </w:r>
      <w:r w:rsidRPr="00932221">
        <w:rPr>
          <w:color w:val="000000"/>
          <w:sz w:val="26"/>
          <w:szCs w:val="26"/>
        </w:rPr>
        <w:t xml:space="preserve">par kuru persona ir administratīvi sodīta par muitas režīma piemērošanu kontrafaktām vai pirātiskām precēm un šāda veida oriģinālpreču vērtība pārsniedz </w:t>
      </w:r>
      <w:r>
        <w:rPr>
          <w:color w:val="000000"/>
          <w:sz w:val="26"/>
          <w:szCs w:val="26"/>
        </w:rPr>
        <w:t>desmit</w:t>
      </w:r>
      <w:r w:rsidRPr="00932221">
        <w:rPr>
          <w:color w:val="000000"/>
          <w:sz w:val="26"/>
          <w:szCs w:val="26"/>
        </w:rPr>
        <w:t xml:space="preserve"> minimālās mēnešalgas vai  par kontrafaktām vai pirātiskām ir atzītas 20%  un vairāk no kravā esošajām precēm</w:t>
      </w:r>
      <w:r w:rsidRPr="00531665">
        <w:rPr>
          <w:color w:val="000000"/>
          <w:sz w:val="26"/>
          <w:szCs w:val="26"/>
        </w:rPr>
        <w:t xml:space="preserve"> vai;</w:t>
      </w:r>
    </w:p>
    <w:p w:rsidR="00816404" w:rsidRPr="00531665" w:rsidRDefault="00816404" w:rsidP="008720FC">
      <w:pPr>
        <w:ind w:firstLine="720"/>
        <w:rPr>
          <w:color w:val="000000"/>
          <w:sz w:val="26"/>
          <w:szCs w:val="26"/>
        </w:rPr>
      </w:pPr>
      <w:r w:rsidRPr="00531665">
        <w:rPr>
          <w:color w:val="000000"/>
          <w:sz w:val="26"/>
          <w:szCs w:val="26"/>
        </w:rPr>
        <w:t>2.3. par kuru persona ir administratīvi sodīta par darbībām, kuru rezultātā nav samaksāti pilnā apjomā muitas nodokļi un citi muitas maksājumi</w:t>
      </w:r>
      <w:r w:rsidRPr="00531665" w:rsidDel="00B31894">
        <w:rPr>
          <w:color w:val="000000"/>
          <w:sz w:val="26"/>
          <w:szCs w:val="26"/>
        </w:rPr>
        <w:t xml:space="preserve"> </w:t>
      </w:r>
      <w:r w:rsidRPr="00531665">
        <w:rPr>
          <w:color w:val="000000"/>
          <w:sz w:val="26"/>
          <w:szCs w:val="26"/>
        </w:rPr>
        <w:t xml:space="preserve">un nesamaksāto muitas nodokļu un citu muitas maksājumu summa pārsniedz </w:t>
      </w:r>
      <w:r>
        <w:rPr>
          <w:color w:val="000000"/>
          <w:sz w:val="26"/>
          <w:szCs w:val="26"/>
        </w:rPr>
        <w:t>piecas</w:t>
      </w:r>
      <w:r w:rsidRPr="00932221">
        <w:rPr>
          <w:color w:val="000000"/>
          <w:sz w:val="26"/>
          <w:szCs w:val="26"/>
        </w:rPr>
        <w:t xml:space="preserve"> minimālās mēnešalgas</w:t>
      </w:r>
      <w:r w:rsidRPr="00531665">
        <w:rPr>
          <w:color w:val="000000"/>
          <w:sz w:val="26"/>
          <w:szCs w:val="26"/>
        </w:rPr>
        <w:t xml:space="preserve"> vai;</w:t>
      </w:r>
    </w:p>
    <w:p w:rsidR="00816404" w:rsidRPr="00531665" w:rsidRDefault="00816404" w:rsidP="008720FC">
      <w:pPr>
        <w:ind w:firstLine="720"/>
        <w:rPr>
          <w:color w:val="000000"/>
          <w:sz w:val="26"/>
          <w:szCs w:val="26"/>
        </w:rPr>
      </w:pPr>
      <w:r w:rsidRPr="00531665">
        <w:rPr>
          <w:color w:val="000000"/>
          <w:sz w:val="26"/>
          <w:szCs w:val="26"/>
        </w:rPr>
        <w:t xml:space="preserve">2.4. par kuru persona ir administratīvi sodīta ar naudas sodu, kas pārsniedz 4000 </w:t>
      </w:r>
      <w:r w:rsidRPr="00531665">
        <w:rPr>
          <w:i/>
          <w:color w:val="000000"/>
          <w:sz w:val="26"/>
          <w:szCs w:val="26"/>
        </w:rPr>
        <w:t>euro</w:t>
      </w:r>
      <w:r w:rsidRPr="00531665">
        <w:rPr>
          <w:color w:val="000000"/>
          <w:sz w:val="26"/>
          <w:szCs w:val="26"/>
        </w:rPr>
        <w:t xml:space="preserve"> vai;</w:t>
      </w:r>
    </w:p>
    <w:p w:rsidR="00816404" w:rsidRPr="00531665" w:rsidRDefault="00816404" w:rsidP="008720FC">
      <w:pPr>
        <w:ind w:firstLine="720"/>
        <w:rPr>
          <w:color w:val="000000"/>
          <w:sz w:val="26"/>
          <w:szCs w:val="26"/>
        </w:rPr>
      </w:pPr>
      <w:r w:rsidRPr="00531665">
        <w:rPr>
          <w:color w:val="000000"/>
          <w:sz w:val="26"/>
          <w:szCs w:val="26"/>
        </w:rPr>
        <w:t xml:space="preserve">2.5. kas konstatēts nodokļu administrācijas veiktā pārbaudē un tās rezultātā papildus nomaksai valsts budžetā noteikto nodokļu summa pārsniedz </w:t>
      </w:r>
      <w:r>
        <w:rPr>
          <w:color w:val="000000"/>
          <w:sz w:val="26"/>
          <w:szCs w:val="26"/>
        </w:rPr>
        <w:t>desmit minimālās mēnešalgas</w:t>
      </w:r>
      <w:r w:rsidRPr="00531665">
        <w:rPr>
          <w:i/>
          <w:color w:val="000000"/>
          <w:sz w:val="26"/>
          <w:szCs w:val="26"/>
        </w:rPr>
        <w:t xml:space="preserve"> </w:t>
      </w:r>
      <w:r w:rsidRPr="00531665">
        <w:rPr>
          <w:color w:val="000000"/>
          <w:sz w:val="26"/>
          <w:szCs w:val="26"/>
        </w:rPr>
        <w:t xml:space="preserve">vai; </w:t>
      </w:r>
    </w:p>
    <w:p w:rsidR="00816404" w:rsidRPr="00531665" w:rsidRDefault="00816404" w:rsidP="008720FC">
      <w:pPr>
        <w:ind w:firstLine="720"/>
        <w:rPr>
          <w:color w:val="000000"/>
          <w:sz w:val="26"/>
          <w:szCs w:val="26"/>
        </w:rPr>
      </w:pPr>
      <w:r w:rsidRPr="00531665">
        <w:rPr>
          <w:color w:val="000000"/>
          <w:sz w:val="26"/>
          <w:szCs w:val="26"/>
        </w:rPr>
        <w:t>2.6. par kuru nodokļu maksātājs, tā dibinātājs, vai amatpersona ar tiesībām to pārstāvēt  likumā noteiktajā kārtībā ir atzīta par vainīgu krimināli sodāmā noziedzīgā nodarījumā par krāpšanu, kontrabandu, neatļautām darbībām ar muitošanai pakļautām precēm vai citām vērtībām, uzņēmējdarbību bez reģistrēšanas un bez atļaujas (licences), vai izvairīšanos no nodokļu un tiem pielīdzināto maksājumu samaksas vai;</w:t>
      </w:r>
    </w:p>
    <w:p w:rsidR="00816404" w:rsidRPr="00531665" w:rsidRDefault="00816404" w:rsidP="008720FC">
      <w:pPr>
        <w:ind w:firstLine="720"/>
        <w:rPr>
          <w:color w:val="000000"/>
          <w:sz w:val="26"/>
          <w:szCs w:val="26"/>
        </w:rPr>
      </w:pPr>
      <w:r w:rsidRPr="00531665">
        <w:rPr>
          <w:color w:val="000000"/>
          <w:sz w:val="26"/>
          <w:szCs w:val="26"/>
        </w:rPr>
        <w:t xml:space="preserve">2.7. par kuru persona ir administratīvi sodīta par stratēģiskas nozīmes preču importa, eksporta, pārvietošanas un tranzīta noteikumu pārkāpšanu šādos gadījumos: </w:t>
      </w:r>
    </w:p>
    <w:p w:rsidR="00816404" w:rsidRPr="00531665" w:rsidRDefault="00816404" w:rsidP="008720FC">
      <w:pPr>
        <w:ind w:firstLine="720"/>
        <w:rPr>
          <w:color w:val="000000"/>
          <w:sz w:val="26"/>
          <w:szCs w:val="26"/>
        </w:rPr>
      </w:pPr>
      <w:r w:rsidRPr="00531665">
        <w:rPr>
          <w:color w:val="000000"/>
          <w:sz w:val="26"/>
          <w:szCs w:val="26"/>
        </w:rPr>
        <w:t>2.7.1.stratēģiskas nozīmes preces tiek pārvietotas uz valsti, uz kuru attiecas starptautiskās sankcijas;</w:t>
      </w:r>
    </w:p>
    <w:p w:rsidR="00816404" w:rsidRPr="00531665" w:rsidRDefault="00816404" w:rsidP="008720FC">
      <w:pPr>
        <w:ind w:firstLine="720"/>
        <w:rPr>
          <w:color w:val="000000"/>
          <w:sz w:val="26"/>
          <w:szCs w:val="26"/>
        </w:rPr>
      </w:pPr>
      <w:r w:rsidRPr="00531665">
        <w:rPr>
          <w:color w:val="000000"/>
          <w:sz w:val="26"/>
          <w:szCs w:val="26"/>
        </w:rPr>
        <w:t xml:space="preserve">2.7.2. tiek pārvietotas Padomes 2013.gada 11.marta Eiropas Savienības  Kopējā militāro preču sarakstā minētās preces, izņemot </w:t>
      </w:r>
    </w:p>
    <w:p w:rsidR="00816404" w:rsidRPr="00531665" w:rsidRDefault="00816404" w:rsidP="008720FC">
      <w:pPr>
        <w:numPr>
          <w:ilvl w:val="0"/>
          <w:numId w:val="17"/>
        </w:numPr>
        <w:rPr>
          <w:color w:val="000000"/>
          <w:sz w:val="26"/>
          <w:szCs w:val="26"/>
        </w:rPr>
      </w:pPr>
      <w:r w:rsidRPr="00531665">
        <w:rPr>
          <w:color w:val="000000"/>
          <w:sz w:val="26"/>
          <w:szCs w:val="26"/>
        </w:rPr>
        <w:t>ML1.d. - tikai optiskie tēmekļi un tikai tie, kas ir izstrādāti sportam un medībām;</w:t>
      </w:r>
    </w:p>
    <w:p w:rsidR="00816404" w:rsidRPr="00531665" w:rsidRDefault="00816404" w:rsidP="008720FC">
      <w:pPr>
        <w:numPr>
          <w:ilvl w:val="0"/>
          <w:numId w:val="17"/>
        </w:numPr>
        <w:rPr>
          <w:color w:val="000000"/>
          <w:sz w:val="26"/>
          <w:szCs w:val="26"/>
        </w:rPr>
      </w:pPr>
      <w:r w:rsidRPr="00531665">
        <w:rPr>
          <w:color w:val="000000"/>
          <w:sz w:val="26"/>
          <w:szCs w:val="26"/>
        </w:rPr>
        <w:t>ML15.a; b. un c. - foto un video iekārtas;</w:t>
      </w:r>
    </w:p>
    <w:p w:rsidR="00816404" w:rsidRPr="00531665" w:rsidRDefault="00816404" w:rsidP="008720FC">
      <w:pPr>
        <w:numPr>
          <w:ilvl w:val="0"/>
          <w:numId w:val="17"/>
        </w:numPr>
        <w:rPr>
          <w:color w:val="000000"/>
          <w:sz w:val="26"/>
          <w:szCs w:val="26"/>
        </w:rPr>
      </w:pPr>
      <w:r w:rsidRPr="00531665">
        <w:rPr>
          <w:color w:val="000000"/>
          <w:sz w:val="26"/>
          <w:szCs w:val="26"/>
        </w:rPr>
        <w:t>ML17.a. - niršanas ekipējums;</w:t>
      </w:r>
    </w:p>
    <w:p w:rsidR="00816404" w:rsidRPr="00531665" w:rsidRDefault="00816404" w:rsidP="008720FC">
      <w:pPr>
        <w:ind w:firstLine="720"/>
        <w:rPr>
          <w:color w:val="000000"/>
          <w:sz w:val="26"/>
          <w:szCs w:val="26"/>
        </w:rPr>
      </w:pPr>
      <w:r w:rsidRPr="00531665">
        <w:rPr>
          <w:color w:val="000000"/>
          <w:sz w:val="26"/>
          <w:szCs w:val="26"/>
        </w:rPr>
        <w:t>2.7.2. tiek pārvietotas Padomes 2009.gada 5.maijsa Regulas (EK) Nr. 428/2009, ar ko izveido Kopienas režīmu divējāda lietojuma preču eksporta, pārvadājumu, starpniecības un tranzīta kontrolei I pielikumā minētās šādas kategorijas preces:</w:t>
      </w:r>
    </w:p>
    <w:p w:rsidR="00816404" w:rsidRPr="00531665" w:rsidRDefault="00816404" w:rsidP="008720FC">
      <w:pPr>
        <w:numPr>
          <w:ilvl w:val="0"/>
          <w:numId w:val="18"/>
        </w:numPr>
        <w:rPr>
          <w:color w:val="000000"/>
          <w:sz w:val="26"/>
          <w:szCs w:val="26"/>
        </w:rPr>
      </w:pPr>
      <w:r w:rsidRPr="00531665">
        <w:rPr>
          <w:color w:val="000000"/>
          <w:sz w:val="26"/>
          <w:szCs w:val="26"/>
        </w:rPr>
        <w:t>0.kategorija – kodolmateriāli;</w:t>
      </w:r>
    </w:p>
    <w:p w:rsidR="00816404" w:rsidRPr="00531665" w:rsidRDefault="00816404" w:rsidP="008720FC">
      <w:pPr>
        <w:numPr>
          <w:ilvl w:val="0"/>
          <w:numId w:val="18"/>
        </w:numPr>
        <w:rPr>
          <w:color w:val="000000"/>
          <w:sz w:val="26"/>
          <w:szCs w:val="26"/>
        </w:rPr>
      </w:pPr>
      <w:r w:rsidRPr="00531665">
        <w:rPr>
          <w:color w:val="000000"/>
          <w:sz w:val="26"/>
          <w:szCs w:val="26"/>
        </w:rPr>
        <w:t>1.kategorija - visa veida bruņas, ķīmisko ieroču detektorsistēmas un aizsargtērpi; viss, kas saistīts ar sprāgstvielām un tās ķīmiskās vielas, kas iekļautas CWC (ķīmisko ieroču prekursori);</w:t>
      </w:r>
    </w:p>
    <w:p w:rsidR="00816404" w:rsidRPr="00531665" w:rsidRDefault="00816404" w:rsidP="008720FC">
      <w:pPr>
        <w:numPr>
          <w:ilvl w:val="0"/>
          <w:numId w:val="18"/>
        </w:numPr>
        <w:rPr>
          <w:color w:val="000000"/>
          <w:sz w:val="26"/>
          <w:szCs w:val="26"/>
        </w:rPr>
      </w:pPr>
      <w:r w:rsidRPr="00531665">
        <w:rPr>
          <w:color w:val="000000"/>
          <w:sz w:val="26"/>
          <w:szCs w:val="26"/>
        </w:rPr>
        <w:t>5.kategorija - 5A002 - kriptogrāfijas iekārtas;</w:t>
      </w:r>
    </w:p>
    <w:p w:rsidR="00816404" w:rsidRPr="00531665" w:rsidRDefault="00816404" w:rsidP="008720FC">
      <w:pPr>
        <w:numPr>
          <w:ilvl w:val="0"/>
          <w:numId w:val="18"/>
        </w:numPr>
        <w:rPr>
          <w:color w:val="000000"/>
          <w:sz w:val="26"/>
          <w:szCs w:val="26"/>
        </w:rPr>
      </w:pPr>
      <w:r w:rsidRPr="00531665">
        <w:rPr>
          <w:color w:val="000000"/>
          <w:sz w:val="26"/>
          <w:szCs w:val="26"/>
        </w:rPr>
        <w:t>7. kategorija (avioelektronika un navigācija);</w:t>
      </w:r>
    </w:p>
    <w:p w:rsidR="00816404" w:rsidRPr="00531665" w:rsidRDefault="00816404" w:rsidP="008720FC">
      <w:pPr>
        <w:numPr>
          <w:ilvl w:val="0"/>
          <w:numId w:val="18"/>
        </w:numPr>
        <w:rPr>
          <w:color w:val="000000"/>
          <w:sz w:val="26"/>
          <w:szCs w:val="26"/>
        </w:rPr>
      </w:pPr>
      <w:r w:rsidRPr="00531665">
        <w:rPr>
          <w:color w:val="000000"/>
          <w:sz w:val="26"/>
          <w:szCs w:val="26"/>
        </w:rPr>
        <w:t>9.kategorija (kosmiskā aviācija);</w:t>
      </w:r>
    </w:p>
    <w:p w:rsidR="00816404" w:rsidRPr="00531665" w:rsidRDefault="00816404" w:rsidP="008720FC">
      <w:pPr>
        <w:ind w:firstLine="720"/>
        <w:rPr>
          <w:color w:val="000000"/>
          <w:sz w:val="26"/>
          <w:szCs w:val="26"/>
        </w:rPr>
      </w:pPr>
      <w:r w:rsidRPr="00531665">
        <w:rPr>
          <w:color w:val="000000"/>
          <w:sz w:val="26"/>
          <w:szCs w:val="26"/>
        </w:rPr>
        <w:t>2.7.3. tiek pārvietotas Ministru kabineta 2007.gada 25.septembra noteikumu Nr.645 „Noteikumi par Nacionālo stratēģiskas nozīmes preču un pakalpojumu sarakstu” pielikumā minētās šādu preču kategorijas:</w:t>
      </w:r>
    </w:p>
    <w:p w:rsidR="00816404" w:rsidRPr="00531665" w:rsidRDefault="00816404" w:rsidP="008720FC">
      <w:pPr>
        <w:numPr>
          <w:ilvl w:val="0"/>
          <w:numId w:val="19"/>
        </w:numPr>
        <w:rPr>
          <w:color w:val="000000"/>
          <w:sz w:val="26"/>
          <w:szCs w:val="26"/>
        </w:rPr>
      </w:pPr>
      <w:r w:rsidRPr="00531665">
        <w:rPr>
          <w:color w:val="000000"/>
          <w:sz w:val="26"/>
          <w:szCs w:val="26"/>
        </w:rPr>
        <w:t>10A901 - Vītņstobra šaujamieroči munīcijai ar apmales (rantes) kapsulu, to sastāvdaļas, palīgierīces un munīcija;</w:t>
      </w:r>
    </w:p>
    <w:p w:rsidR="00816404" w:rsidRPr="00531665" w:rsidRDefault="00816404" w:rsidP="008720FC">
      <w:pPr>
        <w:numPr>
          <w:ilvl w:val="0"/>
          <w:numId w:val="19"/>
        </w:numPr>
        <w:rPr>
          <w:color w:val="000000"/>
          <w:sz w:val="26"/>
          <w:szCs w:val="26"/>
        </w:rPr>
      </w:pPr>
      <w:r w:rsidRPr="00531665">
        <w:rPr>
          <w:color w:val="000000"/>
          <w:sz w:val="26"/>
          <w:szCs w:val="26"/>
        </w:rPr>
        <w:t>10A902 - Lidaparātu komponentes, ierīces un daļas;</w:t>
      </w:r>
    </w:p>
    <w:p w:rsidR="00816404" w:rsidRPr="00531665" w:rsidRDefault="00816404" w:rsidP="008720FC">
      <w:pPr>
        <w:numPr>
          <w:ilvl w:val="0"/>
          <w:numId w:val="19"/>
        </w:numPr>
        <w:rPr>
          <w:color w:val="000000"/>
          <w:sz w:val="26"/>
          <w:szCs w:val="26"/>
        </w:rPr>
      </w:pPr>
      <w:r w:rsidRPr="00531665">
        <w:rPr>
          <w:color w:val="000000"/>
          <w:sz w:val="26"/>
          <w:szCs w:val="26"/>
        </w:rPr>
        <w:t>10A906 - Nakts redzamības monokļi, binokļi un tēmēšanas ierīces un to komponentes;</w:t>
      </w:r>
    </w:p>
    <w:p w:rsidR="00816404" w:rsidRPr="00531665" w:rsidRDefault="00816404" w:rsidP="008720FC">
      <w:pPr>
        <w:numPr>
          <w:ilvl w:val="0"/>
          <w:numId w:val="19"/>
        </w:numPr>
        <w:rPr>
          <w:color w:val="000000"/>
          <w:sz w:val="26"/>
          <w:szCs w:val="26"/>
        </w:rPr>
      </w:pPr>
      <w:r w:rsidRPr="00531665">
        <w:rPr>
          <w:color w:val="000000"/>
          <w:sz w:val="26"/>
          <w:szCs w:val="26"/>
        </w:rPr>
        <w:t>10A907 - Kājnieku mīnas (kājnieku mīnu eksports un tranzīts ir aizliegts);</w:t>
      </w:r>
    </w:p>
    <w:p w:rsidR="00816404" w:rsidRPr="00531665" w:rsidRDefault="00816404" w:rsidP="008720FC">
      <w:pPr>
        <w:numPr>
          <w:ilvl w:val="0"/>
          <w:numId w:val="19"/>
        </w:numPr>
        <w:rPr>
          <w:color w:val="000000"/>
          <w:sz w:val="26"/>
          <w:szCs w:val="26"/>
        </w:rPr>
      </w:pPr>
      <w:r w:rsidRPr="00531665">
        <w:rPr>
          <w:color w:val="000000"/>
          <w:sz w:val="26"/>
          <w:szCs w:val="26"/>
        </w:rPr>
        <w:t>10E902 - Militāra rakstura pakalpojumi (militāra rakstura pakalpojumi ietver jebkuru tehnisko palīdzību, kas saistīta ar militāro iekārtu ražošanu, pilnveidošanu, montāžu, izmēģināšanu, apkalpošanu vai jebkuru citu tehnisku pakalpojumu);</w:t>
      </w:r>
    </w:p>
    <w:p w:rsidR="00816404" w:rsidRPr="00531665" w:rsidRDefault="00816404" w:rsidP="008720FC">
      <w:pPr>
        <w:numPr>
          <w:ilvl w:val="0"/>
          <w:numId w:val="19"/>
        </w:numPr>
        <w:rPr>
          <w:color w:val="000000"/>
          <w:sz w:val="26"/>
          <w:szCs w:val="26"/>
        </w:rPr>
      </w:pPr>
      <w:r w:rsidRPr="00531665">
        <w:rPr>
          <w:color w:val="000000"/>
          <w:sz w:val="26"/>
          <w:szCs w:val="26"/>
        </w:rPr>
        <w:t>10A903 - Pneimatiskie ieroči ar enerģiju, lielāku par 12 džouliem;</w:t>
      </w:r>
    </w:p>
    <w:p w:rsidR="00816404" w:rsidRPr="00531665" w:rsidRDefault="00816404" w:rsidP="008720FC">
      <w:pPr>
        <w:numPr>
          <w:ilvl w:val="0"/>
          <w:numId w:val="19"/>
        </w:numPr>
        <w:rPr>
          <w:color w:val="000000"/>
          <w:sz w:val="26"/>
          <w:szCs w:val="26"/>
        </w:rPr>
      </w:pPr>
      <w:r w:rsidRPr="00531665">
        <w:rPr>
          <w:color w:val="000000"/>
          <w:sz w:val="26"/>
          <w:szCs w:val="26"/>
        </w:rPr>
        <w:t>10A904 - 2., 3. un 4.klases pirotehniskie izstrādājumi;</w:t>
      </w:r>
    </w:p>
    <w:p w:rsidR="00816404" w:rsidRPr="00531665" w:rsidRDefault="00816404" w:rsidP="008720FC">
      <w:pPr>
        <w:numPr>
          <w:ilvl w:val="0"/>
          <w:numId w:val="19"/>
        </w:numPr>
        <w:rPr>
          <w:color w:val="000000"/>
          <w:sz w:val="26"/>
          <w:szCs w:val="26"/>
        </w:rPr>
      </w:pPr>
      <w:r w:rsidRPr="00531665">
        <w:rPr>
          <w:color w:val="000000"/>
          <w:sz w:val="26"/>
          <w:szCs w:val="26"/>
        </w:rPr>
        <w:t>10A905 - Sevišķā veidā veicamiem operatīvās darbības pasākumiem speciāli radītas vai pielāgotas iekārtas, ierīces vai instrumenti un to komponentes;</w:t>
      </w:r>
    </w:p>
    <w:p w:rsidR="00816404" w:rsidRPr="00531665" w:rsidRDefault="00816404" w:rsidP="008720FC">
      <w:pPr>
        <w:numPr>
          <w:ilvl w:val="0"/>
          <w:numId w:val="19"/>
        </w:numPr>
        <w:rPr>
          <w:color w:val="000000"/>
          <w:sz w:val="26"/>
          <w:szCs w:val="26"/>
        </w:rPr>
      </w:pPr>
      <w:r w:rsidRPr="00531665">
        <w:rPr>
          <w:color w:val="000000"/>
          <w:sz w:val="26"/>
          <w:szCs w:val="26"/>
        </w:rPr>
        <w:t>10D901 - Programmatūras, kas speciāli radītas vai pielāgotas informācijas iegūšanai no datoriem, datoru tīkliem vai citām informācijas sistēmām vai šīs informācijas iznīcināšanai vai izmainīšanai slēptā veidā;</w:t>
      </w:r>
    </w:p>
    <w:p w:rsidR="00816404" w:rsidRPr="00531665" w:rsidRDefault="00816404" w:rsidP="00973F86">
      <w:pPr>
        <w:numPr>
          <w:ilvl w:val="0"/>
          <w:numId w:val="19"/>
        </w:numPr>
        <w:rPr>
          <w:color w:val="000000"/>
          <w:sz w:val="26"/>
          <w:szCs w:val="26"/>
        </w:rPr>
      </w:pPr>
      <w:r w:rsidRPr="00531665">
        <w:rPr>
          <w:color w:val="000000"/>
          <w:sz w:val="26"/>
          <w:szCs w:val="26"/>
        </w:rPr>
        <w:t>10E901 - Tehnoloģijas 10A905 minēto iekārtu pilnveidošanai, ražošanai un lietošanai.</w:t>
      </w:r>
    </w:p>
    <w:p w:rsidR="00816404" w:rsidRPr="00531665" w:rsidRDefault="00816404" w:rsidP="00531665">
      <w:pPr>
        <w:rPr>
          <w:color w:val="000000"/>
          <w:sz w:val="26"/>
          <w:szCs w:val="26"/>
        </w:rPr>
      </w:pPr>
      <w:bookmarkStart w:id="0" w:name="_GoBack"/>
      <w:bookmarkEnd w:id="0"/>
    </w:p>
    <w:p w:rsidR="00816404" w:rsidRPr="00531665" w:rsidRDefault="00816404" w:rsidP="00973F86">
      <w:pPr>
        <w:rPr>
          <w:color w:val="000000"/>
          <w:sz w:val="26"/>
          <w:szCs w:val="26"/>
        </w:rPr>
      </w:pPr>
      <w:r w:rsidRPr="00531665">
        <w:rPr>
          <w:color w:val="000000"/>
          <w:sz w:val="26"/>
          <w:szCs w:val="26"/>
        </w:rPr>
        <w:tab/>
        <w:t xml:space="preserve">3. Piemērojot šīs instrukcijas 1.punktā uzskaitītās tiesību aktu normas, par </w:t>
      </w:r>
      <w:r>
        <w:rPr>
          <w:color w:val="000000"/>
          <w:sz w:val="26"/>
          <w:szCs w:val="26"/>
        </w:rPr>
        <w:t>nenozīmīgu</w:t>
      </w:r>
      <w:r w:rsidRPr="00531665">
        <w:rPr>
          <w:color w:val="000000"/>
          <w:sz w:val="26"/>
          <w:szCs w:val="26"/>
        </w:rPr>
        <w:t xml:space="preserve"> muitas vai nodokļu noteikumu pārkāpumu tiek uzskatīts pārkāpums, kuru persona pati, pirms attiecīgu Valsts ieņēmumu dienesta pārbaužu veikšanas, ir atklājusi un</w:t>
      </w:r>
      <w:r>
        <w:rPr>
          <w:color w:val="000000"/>
          <w:sz w:val="26"/>
          <w:szCs w:val="26"/>
        </w:rPr>
        <w:t xml:space="preserve"> nekavējoties</w:t>
      </w:r>
      <w:r w:rsidRPr="00531665">
        <w:rPr>
          <w:color w:val="000000"/>
          <w:sz w:val="26"/>
          <w:szCs w:val="26"/>
        </w:rPr>
        <w:t xml:space="preserve"> informējusi par to Valsts ieņēmumu dienestu, veicot nepieciešamos pasākumus šī pārkāpuma seku novēršanai.</w:t>
      </w:r>
    </w:p>
    <w:p w:rsidR="00816404" w:rsidRPr="00531665" w:rsidRDefault="00816404" w:rsidP="00C9511E">
      <w:pPr>
        <w:tabs>
          <w:tab w:val="left" w:pos="709"/>
        </w:tabs>
        <w:rPr>
          <w:color w:val="000000"/>
          <w:sz w:val="26"/>
          <w:szCs w:val="26"/>
        </w:rPr>
      </w:pPr>
    </w:p>
    <w:p w:rsidR="00816404" w:rsidRPr="00531665" w:rsidRDefault="00816404" w:rsidP="00123AE1">
      <w:pPr>
        <w:rPr>
          <w:sz w:val="26"/>
          <w:szCs w:val="26"/>
        </w:rPr>
      </w:pPr>
      <w:r w:rsidRPr="00531665">
        <w:rPr>
          <w:color w:val="000000"/>
          <w:sz w:val="26"/>
          <w:szCs w:val="26"/>
        </w:rPr>
        <w:tab/>
        <w:t xml:space="preserve">4. </w:t>
      </w:r>
      <w:r w:rsidRPr="00773FEE">
        <w:rPr>
          <w:color w:val="000000"/>
          <w:sz w:val="26"/>
          <w:szCs w:val="26"/>
        </w:rPr>
        <w:t>Piemērojot šīs instrukcijas 1.punktā uzskaitītās tiesību aktu nor</w:t>
      </w:r>
      <w:r>
        <w:rPr>
          <w:color w:val="000000"/>
          <w:sz w:val="26"/>
          <w:szCs w:val="26"/>
        </w:rPr>
        <w:t>mas, par atkārtotu muitas</w:t>
      </w:r>
      <w:r w:rsidRPr="00773FEE">
        <w:rPr>
          <w:color w:val="000000"/>
          <w:sz w:val="26"/>
          <w:szCs w:val="26"/>
        </w:rPr>
        <w:t xml:space="preserve"> noteikumu pārkāpumu ir uzskatāmi pēc vienādām kvalificējošām pazīmēm atbilstoši un identiski pēc būtības muitas jomā izdarīti pārkāpumi, par kuriem personai gada laikā piemēroto naudas sodu kopsumma pārsniedz</w:t>
      </w:r>
      <w:r>
        <w:rPr>
          <w:color w:val="000000"/>
          <w:sz w:val="26"/>
          <w:szCs w:val="26"/>
        </w:rPr>
        <w:t xml:space="preserve"> </w:t>
      </w:r>
      <w:r w:rsidRPr="00773FEE">
        <w:rPr>
          <w:color w:val="000000"/>
          <w:sz w:val="26"/>
          <w:szCs w:val="26"/>
        </w:rPr>
        <w:t xml:space="preserve"> 60% no maksimāli piemērojamā naudas soda par šādu pārkāpumu</w:t>
      </w:r>
      <w:r>
        <w:rPr>
          <w:sz w:val="26"/>
          <w:szCs w:val="26"/>
        </w:rPr>
        <w:t>.</w:t>
      </w:r>
    </w:p>
    <w:p w:rsidR="00816404" w:rsidRPr="00531665" w:rsidRDefault="00816404" w:rsidP="00784C26">
      <w:pPr>
        <w:tabs>
          <w:tab w:val="left" w:pos="709"/>
        </w:tabs>
        <w:rPr>
          <w:color w:val="000000"/>
          <w:sz w:val="26"/>
          <w:szCs w:val="26"/>
        </w:rPr>
      </w:pPr>
      <w:r w:rsidRPr="00531665">
        <w:rPr>
          <w:color w:val="000000"/>
          <w:sz w:val="26"/>
          <w:szCs w:val="26"/>
        </w:rPr>
        <w:tab/>
      </w:r>
    </w:p>
    <w:p w:rsidR="00816404" w:rsidRPr="00531665" w:rsidRDefault="00816404" w:rsidP="00784C26">
      <w:pPr>
        <w:tabs>
          <w:tab w:val="left" w:pos="709"/>
        </w:tabs>
        <w:rPr>
          <w:color w:val="000000"/>
          <w:sz w:val="26"/>
          <w:szCs w:val="26"/>
        </w:rPr>
      </w:pPr>
      <w:r w:rsidRPr="00531665">
        <w:rPr>
          <w:color w:val="000000"/>
          <w:sz w:val="26"/>
          <w:szCs w:val="26"/>
        </w:rPr>
        <w:tab/>
        <w:t>5. Piemērojot šīs instrukcijas 1.punktā uzskaitītās tiesību aktu normas, nodokļu likumu pārkāpumu atkārtotība ir nosakāma saskaņā ar likuma „Par nodokļiem un nodevām” 32.</w:t>
      </w:r>
      <w:r w:rsidRPr="00531665">
        <w:rPr>
          <w:color w:val="000000"/>
          <w:sz w:val="26"/>
          <w:szCs w:val="26"/>
          <w:vertAlign w:val="superscript"/>
        </w:rPr>
        <w:t>4</w:t>
      </w:r>
      <w:r w:rsidRPr="00531665">
        <w:rPr>
          <w:color w:val="000000"/>
          <w:sz w:val="26"/>
          <w:szCs w:val="26"/>
        </w:rPr>
        <w:t xml:space="preserve"> pantu.  </w:t>
      </w:r>
    </w:p>
    <w:p w:rsidR="00816404" w:rsidRPr="00531665" w:rsidRDefault="00816404" w:rsidP="00C9511E">
      <w:pPr>
        <w:tabs>
          <w:tab w:val="left" w:pos="709"/>
        </w:tabs>
        <w:rPr>
          <w:color w:val="000000"/>
          <w:sz w:val="26"/>
          <w:szCs w:val="26"/>
        </w:rPr>
      </w:pPr>
    </w:p>
    <w:p w:rsidR="00816404" w:rsidRPr="00531665" w:rsidRDefault="00816404" w:rsidP="005B466D">
      <w:pPr>
        <w:tabs>
          <w:tab w:val="left" w:pos="709"/>
        </w:tabs>
        <w:rPr>
          <w:color w:val="000000"/>
          <w:sz w:val="26"/>
          <w:szCs w:val="26"/>
        </w:rPr>
      </w:pPr>
      <w:r w:rsidRPr="00531665">
        <w:rPr>
          <w:color w:val="000000"/>
          <w:sz w:val="26"/>
          <w:szCs w:val="26"/>
        </w:rPr>
        <w:tab/>
      </w:r>
    </w:p>
    <w:p w:rsidR="00816404" w:rsidRPr="00531665" w:rsidRDefault="00816404" w:rsidP="00DC00BF">
      <w:pPr>
        <w:tabs>
          <w:tab w:val="left" w:pos="709"/>
        </w:tabs>
        <w:rPr>
          <w:color w:val="000000"/>
          <w:sz w:val="26"/>
          <w:szCs w:val="26"/>
        </w:rPr>
      </w:pPr>
      <w:r w:rsidRPr="00531665">
        <w:rPr>
          <w:color w:val="000000"/>
          <w:sz w:val="26"/>
          <w:szCs w:val="26"/>
        </w:rPr>
        <w:tab/>
        <w:t>Finanšu ministrs</w:t>
      </w:r>
      <w:r w:rsidRPr="00531665">
        <w:rPr>
          <w:color w:val="000000"/>
          <w:sz w:val="26"/>
          <w:szCs w:val="26"/>
        </w:rPr>
        <w:tab/>
      </w:r>
      <w:r w:rsidRPr="00531665">
        <w:rPr>
          <w:color w:val="000000"/>
          <w:sz w:val="26"/>
          <w:szCs w:val="26"/>
        </w:rPr>
        <w:tab/>
      </w:r>
      <w:r w:rsidRPr="00531665">
        <w:rPr>
          <w:color w:val="000000"/>
          <w:sz w:val="26"/>
          <w:szCs w:val="26"/>
        </w:rPr>
        <w:tab/>
      </w:r>
      <w:r w:rsidRPr="00531665">
        <w:rPr>
          <w:color w:val="000000"/>
          <w:sz w:val="26"/>
          <w:szCs w:val="26"/>
        </w:rPr>
        <w:tab/>
      </w:r>
      <w:r w:rsidRPr="00531665">
        <w:rPr>
          <w:color w:val="000000"/>
          <w:sz w:val="26"/>
          <w:szCs w:val="26"/>
        </w:rPr>
        <w:tab/>
      </w:r>
      <w:r w:rsidRPr="00531665">
        <w:rPr>
          <w:color w:val="000000"/>
          <w:sz w:val="26"/>
          <w:szCs w:val="26"/>
        </w:rPr>
        <w:tab/>
      </w:r>
      <w:r w:rsidRPr="00531665">
        <w:rPr>
          <w:color w:val="000000"/>
          <w:sz w:val="26"/>
          <w:szCs w:val="26"/>
        </w:rPr>
        <w:tab/>
      </w:r>
      <w:r w:rsidRPr="00531665">
        <w:rPr>
          <w:color w:val="000000"/>
          <w:sz w:val="26"/>
          <w:szCs w:val="26"/>
        </w:rPr>
        <w:tab/>
        <w:t>A.Vilks</w:t>
      </w:r>
    </w:p>
    <w:p w:rsidR="00816404" w:rsidRDefault="00816404" w:rsidP="00DC00BF">
      <w:pPr>
        <w:tabs>
          <w:tab w:val="left" w:pos="709"/>
        </w:tabs>
        <w:rPr>
          <w:color w:val="000000"/>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Pr="004437D5" w:rsidRDefault="00816404" w:rsidP="004437D5">
      <w:pPr>
        <w:rPr>
          <w:sz w:val="28"/>
          <w:szCs w:val="28"/>
        </w:rPr>
      </w:pPr>
    </w:p>
    <w:p w:rsidR="00816404" w:rsidRDefault="00816404" w:rsidP="004437D5">
      <w:pPr>
        <w:rPr>
          <w:sz w:val="28"/>
          <w:szCs w:val="28"/>
        </w:rPr>
      </w:pPr>
    </w:p>
    <w:p w:rsidR="00816404" w:rsidRPr="004437D5" w:rsidRDefault="00816404" w:rsidP="004437D5">
      <w:pPr>
        <w:rPr>
          <w:sz w:val="28"/>
          <w:szCs w:val="28"/>
        </w:rPr>
      </w:pPr>
    </w:p>
    <w:sectPr w:rsidR="00816404" w:rsidRPr="004437D5" w:rsidSect="00447010">
      <w:headerReference w:type="even" r:id="rId7"/>
      <w:headerReference w:type="default" r:id="rId8"/>
      <w:footerReference w:type="default" r:id="rId9"/>
      <w:footerReference w:type="first" r:id="rId10"/>
      <w:pgSz w:w="11906" w:h="16838" w:code="9"/>
      <w:pgMar w:top="1418" w:right="1134"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04" w:rsidRDefault="00816404">
      <w:r>
        <w:separator/>
      </w:r>
    </w:p>
  </w:endnote>
  <w:endnote w:type="continuationSeparator" w:id="0">
    <w:p w:rsidR="00816404" w:rsidRDefault="008164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4" w:rsidRDefault="00816404" w:rsidP="00447010">
    <w:pPr>
      <w:pStyle w:val="Footer"/>
      <w:tabs>
        <w:tab w:val="clear" w:pos="8306"/>
        <w:tab w:val="left" w:pos="4153"/>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4" w:rsidRDefault="00816404" w:rsidP="006020F6">
    <w:pPr>
      <w:pStyle w:val="Footer"/>
      <w:tabs>
        <w:tab w:val="clear" w:pos="4153"/>
        <w:tab w:val="clear" w:pos="8306"/>
        <w:tab w:val="left" w:pos="25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04" w:rsidRDefault="00816404">
      <w:r>
        <w:separator/>
      </w:r>
    </w:p>
  </w:footnote>
  <w:footnote w:type="continuationSeparator" w:id="0">
    <w:p w:rsidR="00816404" w:rsidRDefault="0081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4" w:rsidRDefault="008164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404" w:rsidRDefault="00816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04" w:rsidRDefault="00816404">
    <w:pPr>
      <w:pStyle w:val="Header"/>
      <w:jc w:val="center"/>
    </w:pPr>
    <w:fldSimple w:instr=" PAGE   \* MERGEFORMAT ">
      <w:r>
        <w:rPr>
          <w:noProof/>
        </w:rPr>
        <w:t>2</w:t>
      </w:r>
    </w:fldSimple>
  </w:p>
  <w:p w:rsidR="00816404" w:rsidRDefault="00816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49C372B"/>
    <w:multiLevelType w:val="hybridMultilevel"/>
    <w:tmpl w:val="B4AEF1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5E569C1"/>
    <w:multiLevelType w:val="hybridMultilevel"/>
    <w:tmpl w:val="D3D4ECA6"/>
    <w:lvl w:ilvl="0" w:tplc="04260001">
      <w:start w:val="1"/>
      <w:numFmt w:val="bullet"/>
      <w:lvlText w:val=""/>
      <w:lvlJc w:val="left"/>
      <w:pPr>
        <w:ind w:left="786"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CB64A7B"/>
    <w:multiLevelType w:val="hybridMultilevel"/>
    <w:tmpl w:val="4F96BE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409A0A83"/>
    <w:multiLevelType w:val="multilevel"/>
    <w:tmpl w:val="0426001F"/>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6596682C"/>
    <w:multiLevelType w:val="hybridMultilevel"/>
    <w:tmpl w:val="E846793E"/>
    <w:lvl w:ilvl="0" w:tplc="04260001">
      <w:start w:val="1"/>
      <w:numFmt w:val="bullet"/>
      <w:lvlText w:val=""/>
      <w:lvlJc w:val="left"/>
      <w:pPr>
        <w:ind w:left="1506" w:hanging="360"/>
      </w:pPr>
      <w:rPr>
        <w:rFonts w:ascii="Symbol" w:hAnsi="Symbol" w:hint="default"/>
      </w:rPr>
    </w:lvl>
    <w:lvl w:ilvl="1" w:tplc="04260003">
      <w:start w:val="1"/>
      <w:numFmt w:val="bullet"/>
      <w:lvlText w:val="o"/>
      <w:lvlJc w:val="left"/>
      <w:pPr>
        <w:ind w:left="2226" w:hanging="360"/>
      </w:pPr>
      <w:rPr>
        <w:rFonts w:ascii="Courier New" w:hAnsi="Courier New" w:hint="default"/>
      </w:rPr>
    </w:lvl>
    <w:lvl w:ilvl="2" w:tplc="04260005">
      <w:start w:val="1"/>
      <w:numFmt w:val="bullet"/>
      <w:lvlText w:val=""/>
      <w:lvlJc w:val="left"/>
      <w:pPr>
        <w:ind w:left="2946" w:hanging="360"/>
      </w:pPr>
      <w:rPr>
        <w:rFonts w:ascii="Wingdings" w:hAnsi="Wingdings" w:hint="default"/>
      </w:rPr>
    </w:lvl>
    <w:lvl w:ilvl="3" w:tplc="04260001">
      <w:start w:val="1"/>
      <w:numFmt w:val="bullet"/>
      <w:lvlText w:val=""/>
      <w:lvlJc w:val="left"/>
      <w:pPr>
        <w:ind w:left="3666" w:hanging="360"/>
      </w:pPr>
      <w:rPr>
        <w:rFonts w:ascii="Symbol" w:hAnsi="Symbol" w:hint="default"/>
      </w:rPr>
    </w:lvl>
    <w:lvl w:ilvl="4" w:tplc="04260003">
      <w:start w:val="1"/>
      <w:numFmt w:val="bullet"/>
      <w:lvlText w:val="o"/>
      <w:lvlJc w:val="left"/>
      <w:pPr>
        <w:ind w:left="4386" w:hanging="360"/>
      </w:pPr>
      <w:rPr>
        <w:rFonts w:ascii="Courier New" w:hAnsi="Courier New" w:hint="default"/>
      </w:rPr>
    </w:lvl>
    <w:lvl w:ilvl="5" w:tplc="04260005">
      <w:start w:val="1"/>
      <w:numFmt w:val="bullet"/>
      <w:lvlText w:val=""/>
      <w:lvlJc w:val="left"/>
      <w:pPr>
        <w:ind w:left="5106" w:hanging="360"/>
      </w:pPr>
      <w:rPr>
        <w:rFonts w:ascii="Wingdings" w:hAnsi="Wingdings" w:hint="default"/>
      </w:rPr>
    </w:lvl>
    <w:lvl w:ilvl="6" w:tplc="04260001">
      <w:start w:val="1"/>
      <w:numFmt w:val="bullet"/>
      <w:lvlText w:val=""/>
      <w:lvlJc w:val="left"/>
      <w:pPr>
        <w:ind w:left="5826" w:hanging="360"/>
      </w:pPr>
      <w:rPr>
        <w:rFonts w:ascii="Symbol" w:hAnsi="Symbol" w:hint="default"/>
      </w:rPr>
    </w:lvl>
    <w:lvl w:ilvl="7" w:tplc="04260003">
      <w:start w:val="1"/>
      <w:numFmt w:val="bullet"/>
      <w:lvlText w:val="o"/>
      <w:lvlJc w:val="left"/>
      <w:pPr>
        <w:ind w:left="6546" w:hanging="360"/>
      </w:pPr>
      <w:rPr>
        <w:rFonts w:ascii="Courier New" w:hAnsi="Courier New" w:hint="default"/>
      </w:rPr>
    </w:lvl>
    <w:lvl w:ilvl="8" w:tplc="04260005">
      <w:start w:val="1"/>
      <w:numFmt w:val="bullet"/>
      <w:lvlText w:val=""/>
      <w:lvlJc w:val="left"/>
      <w:pPr>
        <w:ind w:left="7266" w:hanging="360"/>
      </w:pPr>
      <w:rPr>
        <w:rFonts w:ascii="Wingdings" w:hAnsi="Wingdings" w:hint="default"/>
      </w:rPr>
    </w:lvl>
  </w:abstractNum>
  <w:abstractNum w:abstractNumId="6">
    <w:nsid w:val="66B4657E"/>
    <w:multiLevelType w:val="hybridMultilevel"/>
    <w:tmpl w:val="ED1AA332"/>
    <w:lvl w:ilvl="0" w:tplc="0426000F">
      <w:start w:val="1"/>
      <w:numFmt w:val="decimal"/>
      <w:lvlText w:val="%1."/>
      <w:lvlJc w:val="left"/>
      <w:pPr>
        <w:ind w:left="786"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nsid w:val="6BA84E6C"/>
    <w:multiLevelType w:val="multilevel"/>
    <w:tmpl w:val="0426001F"/>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745A64B8"/>
    <w:multiLevelType w:val="hybridMultilevel"/>
    <w:tmpl w:val="71068E40"/>
    <w:lvl w:ilvl="0" w:tplc="D61C66D2">
      <w:start w:val="1"/>
      <w:numFmt w:val="decimal"/>
      <w:pStyle w:val="Pielikumiem"/>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74C50A89"/>
    <w:multiLevelType w:val="multilevel"/>
    <w:tmpl w:val="A8D0AA56"/>
    <w:lvl w:ilvl="0">
      <w:start w:val="1"/>
      <w:numFmt w:val="decimal"/>
      <w:pStyle w:val="Stlis1"/>
      <w:lvlText w:val="%1."/>
      <w:lvlJc w:val="left"/>
      <w:pPr>
        <w:tabs>
          <w:tab w:val="num" w:pos="360"/>
        </w:tabs>
        <w:ind w:left="360" w:hanging="360"/>
      </w:pPr>
      <w:rPr>
        <w:rFonts w:cs="Times New Roman"/>
      </w:rPr>
    </w:lvl>
    <w:lvl w:ilvl="1">
      <w:start w:val="1"/>
      <w:numFmt w:val="decimal"/>
      <w:pStyle w:val="Stils11"/>
      <w:lvlText w:val="%1.%2."/>
      <w:lvlJc w:val="left"/>
      <w:pPr>
        <w:tabs>
          <w:tab w:val="num" w:pos="792"/>
        </w:tabs>
        <w:ind w:left="792" w:hanging="432"/>
      </w:pPr>
      <w:rPr>
        <w:rFonts w:cs="Times New Roman"/>
      </w:rPr>
    </w:lvl>
    <w:lvl w:ilvl="2">
      <w:start w:val="1"/>
      <w:numFmt w:val="decimal"/>
      <w:pStyle w:val="Stils111"/>
      <w:lvlText w:val="%1.%2.%3."/>
      <w:lvlJc w:val="left"/>
      <w:pPr>
        <w:tabs>
          <w:tab w:val="num" w:pos="1440"/>
        </w:tabs>
        <w:ind w:left="1224" w:hanging="504"/>
      </w:pPr>
      <w:rPr>
        <w:rFonts w:cs="Times New Roman"/>
      </w:rPr>
    </w:lvl>
    <w:lvl w:ilvl="3">
      <w:start w:val="1"/>
      <w:numFmt w:val="decimal"/>
      <w:pStyle w:val="Stlis1111"/>
      <w:lvlText w:val="%1.%2.%3.%4."/>
      <w:lvlJc w:val="left"/>
      <w:pPr>
        <w:tabs>
          <w:tab w:val="num" w:pos="1800"/>
        </w:tabs>
        <w:ind w:left="1728" w:hanging="648"/>
      </w:pPr>
      <w:rPr>
        <w:rFonts w:cs="Times New Roman"/>
      </w:rPr>
    </w:lvl>
    <w:lvl w:ilvl="4">
      <w:start w:val="1"/>
      <w:numFmt w:val="decimal"/>
      <w:pStyle w:val="Stils11111"/>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B456433"/>
    <w:multiLevelType w:val="multilevel"/>
    <w:tmpl w:val="D17ABF9E"/>
    <w:styleLink w:val="StilsStrukturtsnumurts"/>
    <w:lvl w:ilvl="0">
      <w:start w:val="1"/>
      <w:numFmt w:val="decimal"/>
      <w:lvlText w:val="%1."/>
      <w:lvlJc w:val="left"/>
      <w:pPr>
        <w:tabs>
          <w:tab w:val="num" w:pos="360"/>
        </w:tabs>
        <w:ind w:left="360" w:hanging="360"/>
      </w:pPr>
      <w:rPr>
        <w:rFonts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4"/>
  </w:num>
  <w:num w:numId="3">
    <w:abstractNumId w:val="0"/>
  </w:num>
  <w:num w:numId="4">
    <w:abstractNumId w:val="8"/>
  </w:num>
  <w:num w:numId="5">
    <w:abstractNumId w:val="10"/>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002"/>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2BE"/>
    <w:rsid w:val="000023B2"/>
    <w:rsid w:val="00013306"/>
    <w:rsid w:val="00036DEF"/>
    <w:rsid w:val="00041FC6"/>
    <w:rsid w:val="00045DD4"/>
    <w:rsid w:val="0005201D"/>
    <w:rsid w:val="00061773"/>
    <w:rsid w:val="00067333"/>
    <w:rsid w:val="00076C7C"/>
    <w:rsid w:val="000D44CC"/>
    <w:rsid w:val="000D4C08"/>
    <w:rsid w:val="000E2D0A"/>
    <w:rsid w:val="000F31A1"/>
    <w:rsid w:val="00100F40"/>
    <w:rsid w:val="00123AE1"/>
    <w:rsid w:val="00123E35"/>
    <w:rsid w:val="00142AA9"/>
    <w:rsid w:val="00143DF2"/>
    <w:rsid w:val="001456D6"/>
    <w:rsid w:val="00150D1F"/>
    <w:rsid w:val="00153197"/>
    <w:rsid w:val="00164CA0"/>
    <w:rsid w:val="00170A73"/>
    <w:rsid w:val="001908DB"/>
    <w:rsid w:val="00190B3D"/>
    <w:rsid w:val="00195F57"/>
    <w:rsid w:val="00197418"/>
    <w:rsid w:val="001B39B5"/>
    <w:rsid w:val="001C317F"/>
    <w:rsid w:val="001E5EA5"/>
    <w:rsid w:val="00200647"/>
    <w:rsid w:val="00215DC5"/>
    <w:rsid w:val="002337B3"/>
    <w:rsid w:val="002374BF"/>
    <w:rsid w:val="00252517"/>
    <w:rsid w:val="002666C0"/>
    <w:rsid w:val="00282F65"/>
    <w:rsid w:val="002A0237"/>
    <w:rsid w:val="002C1D46"/>
    <w:rsid w:val="002E7809"/>
    <w:rsid w:val="002F0964"/>
    <w:rsid w:val="00302384"/>
    <w:rsid w:val="00304CFC"/>
    <w:rsid w:val="0031414E"/>
    <w:rsid w:val="00344F6E"/>
    <w:rsid w:val="003B46A0"/>
    <w:rsid w:val="003F1F10"/>
    <w:rsid w:val="003F7114"/>
    <w:rsid w:val="004033F1"/>
    <w:rsid w:val="0043553B"/>
    <w:rsid w:val="00436A7B"/>
    <w:rsid w:val="00441C25"/>
    <w:rsid w:val="004437D5"/>
    <w:rsid w:val="00447010"/>
    <w:rsid w:val="00461A77"/>
    <w:rsid w:val="0049333F"/>
    <w:rsid w:val="004A56C6"/>
    <w:rsid w:val="004C4086"/>
    <w:rsid w:val="004C6588"/>
    <w:rsid w:val="00502DCE"/>
    <w:rsid w:val="0050367C"/>
    <w:rsid w:val="00503DEA"/>
    <w:rsid w:val="00510C75"/>
    <w:rsid w:val="00511E6D"/>
    <w:rsid w:val="00511F93"/>
    <w:rsid w:val="00531665"/>
    <w:rsid w:val="005519F4"/>
    <w:rsid w:val="00557C4E"/>
    <w:rsid w:val="005B466D"/>
    <w:rsid w:val="005B701E"/>
    <w:rsid w:val="005C2BA2"/>
    <w:rsid w:val="005C2E1F"/>
    <w:rsid w:val="005D4178"/>
    <w:rsid w:val="005F546E"/>
    <w:rsid w:val="006020F6"/>
    <w:rsid w:val="00606032"/>
    <w:rsid w:val="00663372"/>
    <w:rsid w:val="006908FF"/>
    <w:rsid w:val="0069156A"/>
    <w:rsid w:val="00692009"/>
    <w:rsid w:val="006B2CD2"/>
    <w:rsid w:val="006B33CB"/>
    <w:rsid w:val="006D485D"/>
    <w:rsid w:val="00707721"/>
    <w:rsid w:val="00710508"/>
    <w:rsid w:val="007125BD"/>
    <w:rsid w:val="00722F3D"/>
    <w:rsid w:val="0073298C"/>
    <w:rsid w:val="00743011"/>
    <w:rsid w:val="00751D71"/>
    <w:rsid w:val="007522C5"/>
    <w:rsid w:val="00773FEE"/>
    <w:rsid w:val="00784C26"/>
    <w:rsid w:val="0078668C"/>
    <w:rsid w:val="00794C2C"/>
    <w:rsid w:val="007A6EF6"/>
    <w:rsid w:val="007A78C9"/>
    <w:rsid w:val="007B793C"/>
    <w:rsid w:val="007C704A"/>
    <w:rsid w:val="007D0086"/>
    <w:rsid w:val="007E0D57"/>
    <w:rsid w:val="007E4FD1"/>
    <w:rsid w:val="007F0B84"/>
    <w:rsid w:val="007F6E38"/>
    <w:rsid w:val="007F719A"/>
    <w:rsid w:val="00816404"/>
    <w:rsid w:val="00817807"/>
    <w:rsid w:val="00841BDE"/>
    <w:rsid w:val="00845B96"/>
    <w:rsid w:val="0084690E"/>
    <w:rsid w:val="008500B2"/>
    <w:rsid w:val="008600E1"/>
    <w:rsid w:val="008720FC"/>
    <w:rsid w:val="0087450A"/>
    <w:rsid w:val="00893DF7"/>
    <w:rsid w:val="00896FDE"/>
    <w:rsid w:val="008A2024"/>
    <w:rsid w:val="008A5FE6"/>
    <w:rsid w:val="008B04C4"/>
    <w:rsid w:val="008B277E"/>
    <w:rsid w:val="008B46A7"/>
    <w:rsid w:val="008D2E84"/>
    <w:rsid w:val="008D4111"/>
    <w:rsid w:val="00902F07"/>
    <w:rsid w:val="009103FD"/>
    <w:rsid w:val="00932221"/>
    <w:rsid w:val="0093663E"/>
    <w:rsid w:val="00944A51"/>
    <w:rsid w:val="009457B7"/>
    <w:rsid w:val="00951A3D"/>
    <w:rsid w:val="00960A9E"/>
    <w:rsid w:val="00971FFD"/>
    <w:rsid w:val="00973BCF"/>
    <w:rsid w:val="00973F86"/>
    <w:rsid w:val="009A0BCE"/>
    <w:rsid w:val="009B1B11"/>
    <w:rsid w:val="009B1CDE"/>
    <w:rsid w:val="009C14F0"/>
    <w:rsid w:val="009D167C"/>
    <w:rsid w:val="009D354B"/>
    <w:rsid w:val="009D64CE"/>
    <w:rsid w:val="009E04DB"/>
    <w:rsid w:val="009E32C6"/>
    <w:rsid w:val="009F3981"/>
    <w:rsid w:val="00A06EBB"/>
    <w:rsid w:val="00A12D85"/>
    <w:rsid w:val="00A3329C"/>
    <w:rsid w:val="00A91746"/>
    <w:rsid w:val="00AD2D4A"/>
    <w:rsid w:val="00AE21ED"/>
    <w:rsid w:val="00AE4A0F"/>
    <w:rsid w:val="00AF5EE8"/>
    <w:rsid w:val="00AF7932"/>
    <w:rsid w:val="00B10172"/>
    <w:rsid w:val="00B15DB1"/>
    <w:rsid w:val="00B31894"/>
    <w:rsid w:val="00B54A30"/>
    <w:rsid w:val="00B7519C"/>
    <w:rsid w:val="00B80569"/>
    <w:rsid w:val="00B84599"/>
    <w:rsid w:val="00B86E4B"/>
    <w:rsid w:val="00B9689F"/>
    <w:rsid w:val="00BA7921"/>
    <w:rsid w:val="00BC318C"/>
    <w:rsid w:val="00BE7938"/>
    <w:rsid w:val="00BF30B0"/>
    <w:rsid w:val="00C108BE"/>
    <w:rsid w:val="00C12350"/>
    <w:rsid w:val="00C27FFB"/>
    <w:rsid w:val="00C30BD2"/>
    <w:rsid w:val="00C422B0"/>
    <w:rsid w:val="00C713FA"/>
    <w:rsid w:val="00C90980"/>
    <w:rsid w:val="00C9511E"/>
    <w:rsid w:val="00C969DD"/>
    <w:rsid w:val="00CC21B6"/>
    <w:rsid w:val="00CE29CD"/>
    <w:rsid w:val="00CF2374"/>
    <w:rsid w:val="00D31BB2"/>
    <w:rsid w:val="00D32ACD"/>
    <w:rsid w:val="00D346F8"/>
    <w:rsid w:val="00D35372"/>
    <w:rsid w:val="00D55733"/>
    <w:rsid w:val="00D55D63"/>
    <w:rsid w:val="00D70AAD"/>
    <w:rsid w:val="00D712BE"/>
    <w:rsid w:val="00D820EB"/>
    <w:rsid w:val="00D94FE3"/>
    <w:rsid w:val="00DB3A6C"/>
    <w:rsid w:val="00DC00BF"/>
    <w:rsid w:val="00DC0653"/>
    <w:rsid w:val="00DD1C87"/>
    <w:rsid w:val="00DE3AC2"/>
    <w:rsid w:val="00DF76CF"/>
    <w:rsid w:val="00E05372"/>
    <w:rsid w:val="00E148C4"/>
    <w:rsid w:val="00E209E8"/>
    <w:rsid w:val="00E259CC"/>
    <w:rsid w:val="00E653E3"/>
    <w:rsid w:val="00E72ADD"/>
    <w:rsid w:val="00E7593C"/>
    <w:rsid w:val="00E901A2"/>
    <w:rsid w:val="00E92D2C"/>
    <w:rsid w:val="00EB437E"/>
    <w:rsid w:val="00EE5519"/>
    <w:rsid w:val="00F00990"/>
    <w:rsid w:val="00F05DF6"/>
    <w:rsid w:val="00F069D8"/>
    <w:rsid w:val="00F104FC"/>
    <w:rsid w:val="00F21E72"/>
    <w:rsid w:val="00F22D67"/>
    <w:rsid w:val="00F332F3"/>
    <w:rsid w:val="00F34404"/>
    <w:rsid w:val="00F63501"/>
    <w:rsid w:val="00F70C61"/>
    <w:rsid w:val="00F8453C"/>
    <w:rsid w:val="00F913C8"/>
    <w:rsid w:val="00FD3B2F"/>
    <w:rsid w:val="00FE1E57"/>
    <w:rsid w:val="00FF2E28"/>
    <w:rsid w:val="00FF58DB"/>
    <w:rsid w:val="00FF5A8A"/>
    <w:rsid w:val="00FF76A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6E"/>
    <w:pPr>
      <w:jc w:val="both"/>
    </w:pPr>
    <w:rPr>
      <w:sz w:val="24"/>
      <w:szCs w:val="20"/>
      <w:lang w:eastAsia="en-US"/>
    </w:rPr>
  </w:style>
  <w:style w:type="paragraph" w:styleId="Heading1">
    <w:name w:val="heading 1"/>
    <w:basedOn w:val="Normal"/>
    <w:next w:val="Normal"/>
    <w:link w:val="Heading1Char"/>
    <w:uiPriority w:val="99"/>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400"/>
    <w:rPr>
      <w:rFonts w:asciiTheme="majorHAnsi" w:eastAsiaTheme="majorEastAsia" w:hAnsiTheme="majorHAnsi" w:cstheme="majorBidi"/>
      <w:b/>
      <w:bCs/>
      <w:kern w:val="32"/>
      <w:sz w:val="32"/>
      <w:szCs w:val="32"/>
      <w:lang w:eastAsia="en-US"/>
    </w:rPr>
  </w:style>
  <w:style w:type="paragraph" w:styleId="Footer">
    <w:name w:val="footer"/>
    <w:basedOn w:val="Normal"/>
    <w:link w:val="FooterChar"/>
    <w:uiPriority w:val="99"/>
    <w:rsid w:val="00C713FA"/>
    <w:pPr>
      <w:tabs>
        <w:tab w:val="center" w:pos="4153"/>
        <w:tab w:val="right" w:pos="8306"/>
      </w:tabs>
    </w:pPr>
    <w:rPr>
      <w:sz w:val="20"/>
    </w:rPr>
  </w:style>
  <w:style w:type="character" w:customStyle="1" w:styleId="FooterChar">
    <w:name w:val="Footer Char"/>
    <w:basedOn w:val="DefaultParagraphFont"/>
    <w:link w:val="Footer"/>
    <w:uiPriority w:val="99"/>
    <w:locked/>
    <w:rsid w:val="009D64CE"/>
    <w:rPr>
      <w:rFonts w:cs="Times New Roman"/>
      <w:lang w:eastAsia="en-US"/>
    </w:rPr>
  </w:style>
  <w:style w:type="paragraph" w:customStyle="1" w:styleId="H4">
    <w:name w:val="H4"/>
    <w:uiPriority w:val="99"/>
    <w:rsid w:val="00C713FA"/>
    <w:pPr>
      <w:spacing w:after="120"/>
      <w:jc w:val="center"/>
      <w:outlineLvl w:val="3"/>
    </w:pPr>
    <w:rPr>
      <w:b/>
      <w:sz w:val="28"/>
      <w:szCs w:val="20"/>
      <w:lang w:eastAsia="zh-CN"/>
    </w:rPr>
  </w:style>
  <w:style w:type="paragraph" w:customStyle="1" w:styleId="H3">
    <w:name w:val="H3"/>
    <w:uiPriority w:val="99"/>
    <w:rsid w:val="00C713FA"/>
    <w:pPr>
      <w:spacing w:after="120"/>
      <w:jc w:val="center"/>
      <w:outlineLvl w:val="2"/>
    </w:pPr>
    <w:rPr>
      <w:b/>
      <w:sz w:val="32"/>
      <w:szCs w:val="20"/>
      <w:lang w:eastAsia="zh-CN"/>
    </w:rPr>
  </w:style>
  <w:style w:type="paragraph" w:customStyle="1" w:styleId="H2">
    <w:name w:val="H2"/>
    <w:uiPriority w:val="99"/>
    <w:rsid w:val="00C713FA"/>
    <w:pPr>
      <w:spacing w:after="120"/>
      <w:jc w:val="center"/>
      <w:outlineLvl w:val="1"/>
    </w:pPr>
    <w:rPr>
      <w:b/>
      <w:sz w:val="36"/>
      <w:szCs w:val="20"/>
      <w:lang w:eastAsia="zh-CN"/>
    </w:rPr>
  </w:style>
  <w:style w:type="paragraph" w:customStyle="1" w:styleId="H1">
    <w:name w:val="H1"/>
    <w:uiPriority w:val="99"/>
    <w:rsid w:val="00C713FA"/>
    <w:pPr>
      <w:spacing w:after="120"/>
      <w:jc w:val="center"/>
      <w:outlineLvl w:val="0"/>
    </w:pPr>
    <w:rPr>
      <w:b/>
      <w:sz w:val="44"/>
      <w:szCs w:val="20"/>
      <w:lang w:eastAsia="zh-CN"/>
    </w:rPr>
  </w:style>
  <w:style w:type="paragraph" w:customStyle="1" w:styleId="T">
    <w:name w:val="T"/>
    <w:basedOn w:val="Normal"/>
    <w:uiPriority w:val="99"/>
    <w:rsid w:val="00C713FA"/>
    <w:pPr>
      <w:jc w:val="center"/>
    </w:pPr>
    <w:rPr>
      <w:b/>
      <w:i/>
    </w:rPr>
  </w:style>
  <w:style w:type="paragraph" w:customStyle="1" w:styleId="Z">
    <w:name w:val="Z"/>
    <w:basedOn w:val="T"/>
    <w:uiPriority w:val="99"/>
    <w:rsid w:val="00C713FA"/>
  </w:style>
  <w:style w:type="character" w:styleId="PageNumber">
    <w:name w:val="page number"/>
    <w:basedOn w:val="DefaultParagraphFont"/>
    <w:uiPriority w:val="99"/>
    <w:rsid w:val="00C713FA"/>
    <w:rPr>
      <w:rFonts w:cs="Times New Roman"/>
    </w:rPr>
  </w:style>
  <w:style w:type="paragraph" w:styleId="Header">
    <w:name w:val="header"/>
    <w:basedOn w:val="Normal"/>
    <w:link w:val="HeaderChar"/>
    <w:uiPriority w:val="99"/>
    <w:rsid w:val="00C713FA"/>
    <w:pPr>
      <w:tabs>
        <w:tab w:val="center" w:pos="4153"/>
        <w:tab w:val="right" w:pos="8306"/>
      </w:tabs>
    </w:pPr>
  </w:style>
  <w:style w:type="character" w:customStyle="1" w:styleId="HeaderChar">
    <w:name w:val="Header Char"/>
    <w:basedOn w:val="DefaultParagraphFont"/>
    <w:link w:val="Header"/>
    <w:uiPriority w:val="99"/>
    <w:locked/>
    <w:rsid w:val="00AE21ED"/>
    <w:rPr>
      <w:rFonts w:cs="Times New Roman"/>
      <w:sz w:val="24"/>
      <w:lang w:eastAsia="en-US"/>
    </w:rPr>
  </w:style>
  <w:style w:type="paragraph" w:customStyle="1" w:styleId="StilsPirmrindia0cm">
    <w:name w:val="Stils Pirmā rindiņa:  0 cm"/>
    <w:basedOn w:val="Normal"/>
    <w:uiPriority w:val="99"/>
    <w:rsid w:val="00DB3A6C"/>
  </w:style>
  <w:style w:type="paragraph" w:styleId="BalloonText">
    <w:name w:val="Balloon Text"/>
    <w:basedOn w:val="Normal"/>
    <w:link w:val="BalloonTextChar"/>
    <w:uiPriority w:val="99"/>
    <w:semiHidden/>
    <w:rsid w:val="001456D6"/>
    <w:rPr>
      <w:rFonts w:ascii="Tahoma" w:hAnsi="Tahoma" w:cs="Tahoma"/>
      <w:sz w:val="16"/>
      <w:szCs w:val="16"/>
    </w:rPr>
  </w:style>
  <w:style w:type="character" w:customStyle="1" w:styleId="BalloonTextChar">
    <w:name w:val="Balloon Text Char"/>
    <w:basedOn w:val="DefaultParagraphFont"/>
    <w:link w:val="BalloonText"/>
    <w:uiPriority w:val="99"/>
    <w:semiHidden/>
    <w:rsid w:val="00FB7400"/>
    <w:rPr>
      <w:sz w:val="0"/>
      <w:szCs w:val="0"/>
      <w:lang w:eastAsia="en-US"/>
    </w:rPr>
  </w:style>
  <w:style w:type="paragraph" w:customStyle="1" w:styleId="Lielaisvirsraksts">
    <w:name w:val="Lielais virsraksts"/>
    <w:basedOn w:val="Heading1"/>
    <w:next w:val="Normal"/>
    <w:uiPriority w:val="99"/>
    <w:rsid w:val="00DB3A6C"/>
    <w:pPr>
      <w:numPr>
        <w:numId w:val="3"/>
      </w:numPr>
      <w:jc w:val="center"/>
    </w:pPr>
    <w:rPr>
      <w:rFonts w:ascii="Times New Roman" w:hAnsi="Times New Roman"/>
    </w:rPr>
  </w:style>
  <w:style w:type="paragraph" w:customStyle="1" w:styleId="Pielikumiem">
    <w:name w:val="Pielikumiem"/>
    <w:basedOn w:val="Heading1"/>
    <w:next w:val="BodyText"/>
    <w:uiPriority w:val="99"/>
    <w:rsid w:val="00DB3A6C"/>
    <w:pPr>
      <w:numPr>
        <w:numId w:val="4"/>
      </w:numPr>
      <w:jc w:val="right"/>
    </w:pPr>
    <w:rPr>
      <w:rFonts w:ascii="Times New Roman" w:hAnsi="Times New Roman"/>
      <w:sz w:val="28"/>
    </w:rPr>
  </w:style>
  <w:style w:type="paragraph" w:styleId="BodyText">
    <w:name w:val="Body Text"/>
    <w:basedOn w:val="Normal"/>
    <w:link w:val="BodyTextChar"/>
    <w:uiPriority w:val="99"/>
    <w:rsid w:val="00DB3A6C"/>
  </w:style>
  <w:style w:type="character" w:customStyle="1" w:styleId="BodyTextChar">
    <w:name w:val="Body Text Char"/>
    <w:basedOn w:val="DefaultParagraphFont"/>
    <w:link w:val="BodyText"/>
    <w:uiPriority w:val="99"/>
    <w:semiHidden/>
    <w:rsid w:val="00FB7400"/>
    <w:rPr>
      <w:sz w:val="24"/>
      <w:szCs w:val="20"/>
      <w:lang w:eastAsia="en-US"/>
    </w:rPr>
  </w:style>
  <w:style w:type="paragraph" w:customStyle="1" w:styleId="11">
    <w:name w:val="1.1"/>
    <w:basedOn w:val="Normal"/>
    <w:uiPriority w:val="99"/>
    <w:rsid w:val="0069156A"/>
  </w:style>
  <w:style w:type="paragraph" w:customStyle="1" w:styleId="1">
    <w:name w:val="1"/>
    <w:basedOn w:val="Normal"/>
    <w:uiPriority w:val="99"/>
    <w:rsid w:val="0069156A"/>
  </w:style>
  <w:style w:type="paragraph" w:customStyle="1" w:styleId="111">
    <w:name w:val="1.1.1"/>
    <w:basedOn w:val="Normal"/>
    <w:uiPriority w:val="99"/>
    <w:rsid w:val="0069156A"/>
  </w:style>
  <w:style w:type="paragraph" w:customStyle="1" w:styleId="1111">
    <w:name w:val="1.1.1.1"/>
    <w:basedOn w:val="Normal"/>
    <w:uiPriority w:val="99"/>
    <w:rsid w:val="0069156A"/>
    <w:pPr>
      <w:tabs>
        <w:tab w:val="left" w:pos="2835"/>
      </w:tabs>
    </w:pPr>
  </w:style>
  <w:style w:type="paragraph" w:customStyle="1" w:styleId="Stlis11111">
    <w:name w:val="Stlis 1.1.1.1.1"/>
    <w:basedOn w:val="Normal"/>
    <w:uiPriority w:val="99"/>
    <w:rsid w:val="0069156A"/>
  </w:style>
  <w:style w:type="paragraph" w:customStyle="1" w:styleId="Stlis1">
    <w:name w:val="Stlis 1"/>
    <w:basedOn w:val="Normal"/>
    <w:uiPriority w:val="99"/>
    <w:rsid w:val="0069156A"/>
    <w:pPr>
      <w:numPr>
        <w:numId w:val="15"/>
      </w:numPr>
    </w:pPr>
  </w:style>
  <w:style w:type="paragraph" w:customStyle="1" w:styleId="Stils11">
    <w:name w:val="Stils 1.1"/>
    <w:basedOn w:val="Normal"/>
    <w:uiPriority w:val="99"/>
    <w:rsid w:val="0069156A"/>
    <w:pPr>
      <w:numPr>
        <w:ilvl w:val="1"/>
        <w:numId w:val="15"/>
      </w:numPr>
    </w:pPr>
  </w:style>
  <w:style w:type="paragraph" w:customStyle="1" w:styleId="Stils111">
    <w:name w:val="Stils 1.1.1"/>
    <w:basedOn w:val="Normal"/>
    <w:uiPriority w:val="99"/>
    <w:rsid w:val="0069156A"/>
    <w:pPr>
      <w:numPr>
        <w:ilvl w:val="2"/>
        <w:numId w:val="15"/>
      </w:numPr>
    </w:pPr>
  </w:style>
  <w:style w:type="paragraph" w:customStyle="1" w:styleId="Stlis1111">
    <w:name w:val="Stlis 1.1.1.1"/>
    <w:basedOn w:val="Normal"/>
    <w:uiPriority w:val="99"/>
    <w:rsid w:val="0069156A"/>
    <w:pPr>
      <w:numPr>
        <w:ilvl w:val="3"/>
        <w:numId w:val="15"/>
      </w:numPr>
      <w:tabs>
        <w:tab w:val="left" w:pos="2835"/>
      </w:tabs>
    </w:pPr>
  </w:style>
  <w:style w:type="paragraph" w:customStyle="1" w:styleId="Stils11111">
    <w:name w:val="Stils 1.1.1.1.1"/>
    <w:basedOn w:val="Normal"/>
    <w:uiPriority w:val="99"/>
    <w:rsid w:val="0069156A"/>
    <w:pPr>
      <w:numPr>
        <w:ilvl w:val="4"/>
        <w:numId w:val="15"/>
      </w:numPr>
    </w:pPr>
  </w:style>
  <w:style w:type="table" w:styleId="TableGrid">
    <w:name w:val="Table Grid"/>
    <w:basedOn w:val="TableNormal"/>
    <w:uiPriority w:val="99"/>
    <w:rsid w:val="00344F6E"/>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05DF6"/>
    <w:rPr>
      <w:rFonts w:cs="Times New Roman"/>
      <w:color w:val="0000FF"/>
      <w:u w:val="single"/>
    </w:rPr>
  </w:style>
  <w:style w:type="paragraph" w:styleId="ListParagraph">
    <w:name w:val="List Paragraph"/>
    <w:basedOn w:val="Normal"/>
    <w:uiPriority w:val="99"/>
    <w:qFormat/>
    <w:rsid w:val="005B466D"/>
    <w:pPr>
      <w:ind w:left="720"/>
      <w:contextualSpacing/>
    </w:pPr>
  </w:style>
  <w:style w:type="character" w:styleId="CommentReference">
    <w:name w:val="annotation reference"/>
    <w:basedOn w:val="DefaultParagraphFont"/>
    <w:uiPriority w:val="99"/>
    <w:semiHidden/>
    <w:rsid w:val="00BF30B0"/>
    <w:rPr>
      <w:rFonts w:cs="Times New Roman"/>
      <w:sz w:val="16"/>
      <w:szCs w:val="16"/>
    </w:rPr>
  </w:style>
  <w:style w:type="paragraph" w:styleId="CommentText">
    <w:name w:val="annotation text"/>
    <w:basedOn w:val="Normal"/>
    <w:link w:val="CommentTextChar"/>
    <w:uiPriority w:val="99"/>
    <w:semiHidden/>
    <w:rsid w:val="00BF30B0"/>
    <w:rPr>
      <w:sz w:val="20"/>
    </w:rPr>
  </w:style>
  <w:style w:type="character" w:customStyle="1" w:styleId="CommentTextChar">
    <w:name w:val="Comment Text Char"/>
    <w:basedOn w:val="DefaultParagraphFont"/>
    <w:link w:val="CommentText"/>
    <w:uiPriority w:val="99"/>
    <w:semiHidden/>
    <w:locked/>
    <w:rsid w:val="00BF30B0"/>
    <w:rPr>
      <w:rFonts w:cs="Times New Roman"/>
      <w:lang w:eastAsia="en-US"/>
    </w:rPr>
  </w:style>
  <w:style w:type="paragraph" w:styleId="CommentSubject">
    <w:name w:val="annotation subject"/>
    <w:basedOn w:val="CommentText"/>
    <w:next w:val="CommentText"/>
    <w:link w:val="CommentSubjectChar"/>
    <w:uiPriority w:val="99"/>
    <w:semiHidden/>
    <w:rsid w:val="00BF30B0"/>
    <w:rPr>
      <w:b/>
      <w:bCs/>
    </w:rPr>
  </w:style>
  <w:style w:type="character" w:customStyle="1" w:styleId="CommentSubjectChar">
    <w:name w:val="Comment Subject Char"/>
    <w:basedOn w:val="CommentTextChar"/>
    <w:link w:val="CommentSubject"/>
    <w:uiPriority w:val="99"/>
    <w:semiHidden/>
    <w:locked/>
    <w:rsid w:val="00BF30B0"/>
    <w:rPr>
      <w:b/>
      <w:bCs/>
    </w:rPr>
  </w:style>
  <w:style w:type="paragraph" w:styleId="Revision">
    <w:name w:val="Revision"/>
    <w:hidden/>
    <w:uiPriority w:val="99"/>
    <w:semiHidden/>
    <w:rsid w:val="000E2D0A"/>
    <w:rPr>
      <w:sz w:val="24"/>
      <w:szCs w:val="20"/>
      <w:lang w:eastAsia="en-US"/>
    </w:rPr>
  </w:style>
  <w:style w:type="numbering" w:customStyle="1" w:styleId="StilsStrukturtsnumurts">
    <w:name w:val="Stils Strukturēts numurēts"/>
    <w:rsid w:val="00FB7400"/>
    <w:pPr>
      <w:numPr>
        <w:numId w:val="5"/>
      </w:numPr>
    </w:pPr>
  </w:style>
</w:styles>
</file>

<file path=word/webSettings.xml><?xml version="1.0" encoding="utf-8"?>
<w:webSettings xmlns:r="http://schemas.openxmlformats.org/officeDocument/2006/relationships" xmlns:w="http://schemas.openxmlformats.org/wordprocessingml/2006/main">
  <w:divs>
    <w:div w:id="1962491223">
      <w:marLeft w:val="0"/>
      <w:marRight w:val="0"/>
      <w:marTop w:val="0"/>
      <w:marBottom w:val="0"/>
      <w:divBdr>
        <w:top w:val="none" w:sz="0" w:space="0" w:color="auto"/>
        <w:left w:val="none" w:sz="0" w:space="0" w:color="auto"/>
        <w:bottom w:val="none" w:sz="0" w:space="0" w:color="auto"/>
        <w:right w:val="none" w:sz="0" w:space="0" w:color="auto"/>
      </w:divBdr>
    </w:div>
    <w:div w:id="1962491225">
      <w:marLeft w:val="0"/>
      <w:marRight w:val="0"/>
      <w:marTop w:val="0"/>
      <w:marBottom w:val="0"/>
      <w:divBdr>
        <w:top w:val="none" w:sz="0" w:space="0" w:color="auto"/>
        <w:left w:val="none" w:sz="0" w:space="0" w:color="auto"/>
        <w:bottom w:val="none" w:sz="0" w:space="0" w:color="auto"/>
        <w:right w:val="none" w:sz="0" w:space="0" w:color="auto"/>
      </w:divBdr>
      <w:divsChild>
        <w:div w:id="1962491226">
          <w:marLeft w:val="0"/>
          <w:marRight w:val="0"/>
          <w:marTop w:val="0"/>
          <w:marBottom w:val="0"/>
          <w:divBdr>
            <w:top w:val="none" w:sz="0" w:space="0" w:color="auto"/>
            <w:left w:val="none" w:sz="0" w:space="0" w:color="auto"/>
            <w:bottom w:val="none" w:sz="0" w:space="0" w:color="auto"/>
            <w:right w:val="none" w:sz="0" w:space="0" w:color="auto"/>
          </w:divBdr>
          <w:divsChild>
            <w:div w:id="1962491232">
              <w:marLeft w:val="0"/>
              <w:marRight w:val="0"/>
              <w:marTop w:val="0"/>
              <w:marBottom w:val="0"/>
              <w:divBdr>
                <w:top w:val="none" w:sz="0" w:space="0" w:color="auto"/>
                <w:left w:val="none" w:sz="0" w:space="0" w:color="auto"/>
                <w:bottom w:val="none" w:sz="0" w:space="0" w:color="auto"/>
                <w:right w:val="none" w:sz="0" w:space="0" w:color="auto"/>
              </w:divBdr>
              <w:divsChild>
                <w:div w:id="1962491230">
                  <w:marLeft w:val="0"/>
                  <w:marRight w:val="0"/>
                  <w:marTop w:val="0"/>
                  <w:marBottom w:val="0"/>
                  <w:divBdr>
                    <w:top w:val="none" w:sz="0" w:space="0" w:color="auto"/>
                    <w:left w:val="none" w:sz="0" w:space="0" w:color="auto"/>
                    <w:bottom w:val="none" w:sz="0" w:space="0" w:color="auto"/>
                    <w:right w:val="none" w:sz="0" w:space="0" w:color="auto"/>
                  </w:divBdr>
                  <w:divsChild>
                    <w:div w:id="1962491231">
                      <w:marLeft w:val="0"/>
                      <w:marRight w:val="0"/>
                      <w:marTop w:val="0"/>
                      <w:marBottom w:val="0"/>
                      <w:divBdr>
                        <w:top w:val="none" w:sz="0" w:space="0" w:color="auto"/>
                        <w:left w:val="none" w:sz="0" w:space="0" w:color="auto"/>
                        <w:bottom w:val="none" w:sz="0" w:space="0" w:color="auto"/>
                        <w:right w:val="none" w:sz="0" w:space="0" w:color="auto"/>
                      </w:divBdr>
                      <w:divsChild>
                        <w:div w:id="1962491224">
                          <w:marLeft w:val="0"/>
                          <w:marRight w:val="0"/>
                          <w:marTop w:val="300"/>
                          <w:marBottom w:val="0"/>
                          <w:divBdr>
                            <w:top w:val="none" w:sz="0" w:space="0" w:color="auto"/>
                            <w:left w:val="none" w:sz="0" w:space="0" w:color="auto"/>
                            <w:bottom w:val="none" w:sz="0" w:space="0" w:color="auto"/>
                            <w:right w:val="none" w:sz="0" w:space="0" w:color="auto"/>
                          </w:divBdr>
                          <w:divsChild>
                            <w:div w:id="19624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1227">
      <w:marLeft w:val="0"/>
      <w:marRight w:val="0"/>
      <w:marTop w:val="0"/>
      <w:marBottom w:val="0"/>
      <w:divBdr>
        <w:top w:val="none" w:sz="0" w:space="0" w:color="auto"/>
        <w:left w:val="none" w:sz="0" w:space="0" w:color="auto"/>
        <w:bottom w:val="none" w:sz="0" w:space="0" w:color="auto"/>
        <w:right w:val="none" w:sz="0" w:space="0" w:color="auto"/>
      </w:divBdr>
    </w:div>
    <w:div w:id="1962491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4280</Words>
  <Characters>2441</Characters>
  <Application>Microsoft Office Outlook</Application>
  <DocSecurity>0</DocSecurity>
  <Lines>0</Lines>
  <Paragraphs>0</Paragraphs>
  <ScaleCrop>false</ScaleCrop>
  <Company>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dokumenta veids</dc:subject>
  <dc:creator>Finanšu Ministrija</dc:creator>
  <cp:keywords/>
  <dc:description>e-pasta adresetālrunis</dc:description>
  <cp:lastModifiedBy>user</cp:lastModifiedBy>
  <cp:revision>2</cp:revision>
  <cp:lastPrinted>2014-05-28T12:29:00Z</cp:lastPrinted>
  <dcterms:created xsi:type="dcterms:W3CDTF">2014-08-19T10:34:00Z</dcterms:created>
  <dcterms:modified xsi:type="dcterms:W3CDTF">2014-08-19T10:34:00Z</dcterms:modified>
</cp:coreProperties>
</file>